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94" w:rsidRDefault="00A61EE4">
      <w:pPr>
        <w:tabs>
          <w:tab w:val="center" w:pos="4680"/>
          <w:tab w:val="right" w:pos="9360"/>
        </w:tabs>
        <w:spacing w:after="0" w:line="240" w:lineRule="auto"/>
        <w:jc w:val="center"/>
        <w:rPr>
          <w:rFonts w:ascii="Times New Roman" w:eastAsia="Times New Roman" w:hAnsi="Times New Roman" w:cs="Times New Roman"/>
          <w:b/>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0</wp:posOffset>
            </wp:positionH>
            <wp:positionV relativeFrom="paragraph">
              <wp:posOffset>9525</wp:posOffset>
            </wp:positionV>
            <wp:extent cx="2800350" cy="344170"/>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5"/>
                    <a:srcRect/>
                    <a:stretch>
                      <a:fillRect/>
                    </a:stretch>
                  </pic:blipFill>
                  <pic:spPr>
                    <a:xfrm>
                      <a:off x="0" y="0"/>
                      <a:ext cx="2800350" cy="344170"/>
                    </a:xfrm>
                    <a:prstGeom prst="rect">
                      <a:avLst/>
                    </a:prstGeom>
                    <a:ln/>
                  </pic:spPr>
                </pic:pic>
              </a:graphicData>
            </a:graphic>
          </wp:anchor>
        </w:drawing>
      </w:r>
    </w:p>
    <w:p w:rsidR="00A57394" w:rsidRDefault="00A57394">
      <w:pPr>
        <w:tabs>
          <w:tab w:val="center" w:pos="4680"/>
          <w:tab w:val="right" w:pos="9360"/>
        </w:tabs>
        <w:spacing w:after="0" w:line="240" w:lineRule="auto"/>
        <w:jc w:val="center"/>
        <w:rPr>
          <w:rFonts w:ascii="Times New Roman" w:eastAsia="Times New Roman" w:hAnsi="Times New Roman" w:cs="Times New Roman"/>
          <w:b/>
        </w:rPr>
      </w:pPr>
    </w:p>
    <w:p w:rsidR="00A57394" w:rsidRDefault="00A57394">
      <w:pPr>
        <w:tabs>
          <w:tab w:val="center" w:pos="4680"/>
          <w:tab w:val="right" w:pos="9360"/>
        </w:tabs>
        <w:spacing w:after="0" w:line="240" w:lineRule="auto"/>
        <w:jc w:val="center"/>
        <w:rPr>
          <w:rFonts w:ascii="Times New Roman" w:eastAsia="Times New Roman" w:hAnsi="Times New Roman" w:cs="Times New Roman"/>
          <w:b/>
        </w:rPr>
      </w:pPr>
    </w:p>
    <w:p w:rsidR="00A57394" w:rsidRDefault="00A61EE4">
      <w:pPr>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Faculty Assembly Executive Council (EC) Meeting Minutes</w:t>
      </w:r>
    </w:p>
    <w:p w:rsidR="00A57394" w:rsidRDefault="00A61EE4">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u w:val="single"/>
        </w:rPr>
        <w:t>March 30, 2018   1:00-3:00pm    GWP 320</w:t>
      </w:r>
    </w:p>
    <w:p w:rsidR="00A57394" w:rsidRDefault="00A57394">
      <w:pPr>
        <w:spacing w:after="0" w:line="240" w:lineRule="auto"/>
        <w:jc w:val="center"/>
        <w:rPr>
          <w:rFonts w:ascii="Times New Roman" w:eastAsia="Times New Roman" w:hAnsi="Times New Roman" w:cs="Times New Roman"/>
          <w:u w:val="single"/>
        </w:rPr>
      </w:pPr>
    </w:p>
    <w:p w:rsidR="00A57394" w:rsidRDefault="00A61EE4">
      <w:pPr>
        <w:spacing w:after="0" w:line="240" w:lineRule="auto"/>
        <w:rPr>
          <w:rFonts w:ascii="Times New Roman" w:eastAsia="Times New Roman" w:hAnsi="Times New Roman" w:cs="Times New Roman"/>
          <w:b/>
          <w:i/>
          <w:highlight w:val="white"/>
        </w:rPr>
      </w:pPr>
      <w:r>
        <w:rPr>
          <w:rFonts w:ascii="Times New Roman" w:eastAsia="Times New Roman" w:hAnsi="Times New Roman" w:cs="Times New Roman"/>
          <w:b/>
          <w:i/>
          <w:highlight w:val="white"/>
        </w:rPr>
        <w:t>Present:</w:t>
      </w:r>
      <w:r>
        <w:rPr>
          <w:rFonts w:ascii="Times New Roman" w:eastAsia="Times New Roman" w:hAnsi="Times New Roman" w:cs="Times New Roman"/>
          <w:i/>
          <w:highlight w:val="white"/>
        </w:rPr>
        <w:t xml:space="preserve"> Lauren Montgomery, </w:t>
      </w:r>
      <w:proofErr w:type="spellStart"/>
      <w:r>
        <w:rPr>
          <w:rFonts w:ascii="Times New Roman" w:eastAsia="Times New Roman" w:hAnsi="Times New Roman" w:cs="Times New Roman"/>
          <w:i/>
          <w:highlight w:val="white"/>
        </w:rPr>
        <w:t>Leighann</w:t>
      </w:r>
      <w:proofErr w:type="spellEnd"/>
      <w:r>
        <w:rPr>
          <w:rFonts w:ascii="Times New Roman" w:eastAsia="Times New Roman" w:hAnsi="Times New Roman" w:cs="Times New Roman"/>
          <w:i/>
          <w:highlight w:val="white"/>
        </w:rPr>
        <w:t xml:space="preserve"> Chaffee, </w:t>
      </w:r>
      <w:proofErr w:type="spellStart"/>
      <w:r>
        <w:rPr>
          <w:rFonts w:ascii="Times New Roman" w:eastAsia="Times New Roman" w:hAnsi="Times New Roman" w:cs="Times New Roman"/>
          <w:i/>
          <w:highlight w:val="white"/>
        </w:rPr>
        <w:t>Ka</w:t>
      </w:r>
      <w:proofErr w:type="spellEnd"/>
      <w:r>
        <w:rPr>
          <w:rFonts w:ascii="Times New Roman" w:eastAsia="Times New Roman" w:hAnsi="Times New Roman" w:cs="Times New Roman"/>
          <w:i/>
          <w:highlight w:val="white"/>
        </w:rPr>
        <w:t xml:space="preserve"> Yee Yeung-Rhee, Nicole Blair, Ellen Moore, Mark Pendras, </w:t>
      </w:r>
      <w:proofErr w:type="spellStart"/>
      <w:r>
        <w:rPr>
          <w:rFonts w:ascii="Times New Roman" w:eastAsia="Times New Roman" w:hAnsi="Times New Roman" w:cs="Times New Roman"/>
          <w:i/>
          <w:highlight w:val="white"/>
        </w:rPr>
        <w:t>Sushil</w:t>
      </w:r>
      <w:proofErr w:type="spell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Oswal</w:t>
      </w:r>
      <w:proofErr w:type="spellEnd"/>
      <w:r>
        <w:rPr>
          <w:rFonts w:ascii="Times New Roman" w:eastAsia="Times New Roman" w:hAnsi="Times New Roman" w:cs="Times New Roman"/>
          <w:i/>
          <w:highlight w:val="white"/>
        </w:rPr>
        <w:t xml:space="preserve">, Ji-Hyun </w:t>
      </w:r>
      <w:proofErr w:type="spellStart"/>
      <w:r>
        <w:rPr>
          <w:rFonts w:ascii="Times New Roman" w:eastAsia="Times New Roman" w:hAnsi="Times New Roman" w:cs="Times New Roman"/>
          <w:i/>
          <w:highlight w:val="white"/>
        </w:rPr>
        <w:t>Ahn</w:t>
      </w:r>
      <w:proofErr w:type="spellEnd"/>
      <w:r>
        <w:rPr>
          <w:rFonts w:ascii="Times New Roman" w:eastAsia="Times New Roman" w:hAnsi="Times New Roman" w:cs="Times New Roman"/>
          <w:i/>
          <w:highlight w:val="white"/>
        </w:rPr>
        <w:t xml:space="preserve">, Justin </w:t>
      </w:r>
      <w:proofErr w:type="spellStart"/>
      <w:r>
        <w:rPr>
          <w:rFonts w:ascii="Times New Roman" w:eastAsia="Times New Roman" w:hAnsi="Times New Roman" w:cs="Times New Roman"/>
          <w:i/>
          <w:highlight w:val="white"/>
        </w:rPr>
        <w:t>Wadland</w:t>
      </w:r>
      <w:proofErr w:type="spellEnd"/>
      <w:r>
        <w:rPr>
          <w:rFonts w:ascii="Times New Roman" w:eastAsia="Times New Roman" w:hAnsi="Times New Roman" w:cs="Times New Roman"/>
          <w:i/>
          <w:highlight w:val="white"/>
        </w:rPr>
        <w:t xml:space="preserve">, DC Grant, </w:t>
      </w:r>
      <w:proofErr w:type="spellStart"/>
      <w:r>
        <w:rPr>
          <w:rFonts w:ascii="Times New Roman" w:eastAsia="Times New Roman" w:hAnsi="Times New Roman" w:cs="Times New Roman"/>
          <w:i/>
          <w:highlight w:val="white"/>
        </w:rPr>
        <w:t>Menaka</w:t>
      </w:r>
      <w:proofErr w:type="spellEnd"/>
      <w:r>
        <w:rPr>
          <w:rFonts w:ascii="Times New Roman" w:eastAsia="Times New Roman" w:hAnsi="Times New Roman" w:cs="Times New Roman"/>
          <w:i/>
          <w:highlight w:val="white"/>
        </w:rPr>
        <w:t xml:space="preserve"> Abraham, </w:t>
      </w:r>
      <w:proofErr w:type="spellStart"/>
      <w:r>
        <w:rPr>
          <w:rFonts w:ascii="Times New Roman" w:eastAsia="Times New Roman" w:hAnsi="Times New Roman" w:cs="Times New Roman"/>
          <w:i/>
          <w:highlight w:val="white"/>
        </w:rPr>
        <w:t>Loly</w:t>
      </w:r>
      <w:proofErr w:type="spellEnd"/>
      <w:r>
        <w:rPr>
          <w:rFonts w:ascii="Times New Roman" w:eastAsia="Times New Roman" w:hAnsi="Times New Roman" w:cs="Times New Roman"/>
          <w:i/>
          <w:highlight w:val="white"/>
        </w:rPr>
        <w:t xml:space="preserve"> Alcaide Ramirez, </w:t>
      </w:r>
      <w:proofErr w:type="spellStart"/>
      <w:r>
        <w:rPr>
          <w:rFonts w:ascii="Times New Roman" w:eastAsia="Times New Roman" w:hAnsi="Times New Roman" w:cs="Times New Roman"/>
          <w:i/>
          <w:highlight w:val="white"/>
        </w:rPr>
        <w:t>Jie</w:t>
      </w:r>
      <w:proofErr w:type="spellEnd"/>
      <w:r>
        <w:rPr>
          <w:rFonts w:ascii="Times New Roman" w:eastAsia="Times New Roman" w:hAnsi="Times New Roman" w:cs="Times New Roman"/>
          <w:i/>
          <w:highlight w:val="white"/>
        </w:rPr>
        <w:t xml:space="preserve"> Sheng</w:t>
      </w:r>
    </w:p>
    <w:p w:rsidR="00A57394" w:rsidRDefault="00A61EE4">
      <w:pPr>
        <w:spacing w:after="0" w:line="240" w:lineRule="auto"/>
        <w:rPr>
          <w:rFonts w:ascii="Times New Roman" w:eastAsia="Times New Roman" w:hAnsi="Times New Roman" w:cs="Times New Roman"/>
          <w:b/>
          <w:i/>
          <w:highlight w:val="white"/>
        </w:rPr>
      </w:pPr>
      <w:r>
        <w:rPr>
          <w:rFonts w:ascii="Times New Roman" w:eastAsia="Times New Roman" w:hAnsi="Times New Roman" w:cs="Times New Roman"/>
          <w:b/>
          <w:i/>
          <w:highlight w:val="white"/>
        </w:rPr>
        <w:t>Zoom:</w:t>
      </w:r>
      <w:r>
        <w:rPr>
          <w:rFonts w:ascii="Times New Roman" w:eastAsia="Times New Roman" w:hAnsi="Times New Roman" w:cs="Times New Roman"/>
          <w:i/>
          <w:highlight w:val="white"/>
        </w:rPr>
        <w:t xml:space="preserve"> Michelle Garner, Greg Rose, </w:t>
      </w:r>
      <w:proofErr w:type="gramStart"/>
      <w:r>
        <w:rPr>
          <w:rFonts w:ascii="Times New Roman" w:eastAsia="Times New Roman" w:hAnsi="Times New Roman" w:cs="Times New Roman"/>
          <w:i/>
          <w:highlight w:val="white"/>
        </w:rPr>
        <w:t>Denise</w:t>
      </w:r>
      <w:proofErr w:type="gram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Drevdahl</w:t>
      </w:r>
      <w:proofErr w:type="spellEnd"/>
      <w:r>
        <w:rPr>
          <w:rFonts w:ascii="Times New Roman" w:eastAsia="Times New Roman" w:hAnsi="Times New Roman" w:cs="Times New Roman"/>
          <w:i/>
          <w:highlight w:val="white"/>
        </w:rPr>
        <w:t>. Eugene</w:t>
      </w:r>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Sivadas</w:t>
      </w:r>
      <w:proofErr w:type="spellEnd"/>
    </w:p>
    <w:p w:rsidR="00A57394" w:rsidRDefault="00A61EE4">
      <w:pPr>
        <w:spacing w:after="0" w:line="240" w:lineRule="auto"/>
        <w:rPr>
          <w:rFonts w:ascii="Times New Roman" w:eastAsia="Times New Roman" w:hAnsi="Times New Roman" w:cs="Times New Roman"/>
          <w:b/>
          <w:i/>
          <w:highlight w:val="white"/>
        </w:rPr>
      </w:pPr>
      <w:r>
        <w:rPr>
          <w:rFonts w:ascii="Times New Roman" w:eastAsia="Times New Roman" w:hAnsi="Times New Roman" w:cs="Times New Roman"/>
          <w:b/>
          <w:i/>
          <w:sz w:val="20"/>
          <w:szCs w:val="20"/>
        </w:rPr>
        <w:t xml:space="preserve">Guests: </w:t>
      </w:r>
      <w:r>
        <w:rPr>
          <w:rFonts w:ascii="Times New Roman" w:eastAsia="Times New Roman" w:hAnsi="Times New Roman" w:cs="Times New Roman"/>
          <w:i/>
        </w:rPr>
        <w:t xml:space="preserve">Jeremy </w:t>
      </w:r>
      <w:r>
        <w:rPr>
          <w:rFonts w:ascii="Times New Roman" w:eastAsia="Times New Roman" w:hAnsi="Times New Roman" w:cs="Times New Roman"/>
          <w:i/>
          <w:highlight w:val="white"/>
        </w:rPr>
        <w:t xml:space="preserve">Davis, Rob MacGregor (sub for Laura </w:t>
      </w:r>
      <w:proofErr w:type="spellStart"/>
      <w:r>
        <w:rPr>
          <w:rFonts w:ascii="Times New Roman" w:eastAsia="Times New Roman" w:hAnsi="Times New Roman" w:cs="Times New Roman"/>
          <w:i/>
          <w:highlight w:val="white"/>
        </w:rPr>
        <w:t>Feuerborn</w:t>
      </w:r>
      <w:proofErr w:type="spellEnd"/>
      <w:r>
        <w:rPr>
          <w:rFonts w:ascii="Times New Roman" w:eastAsia="Times New Roman" w:hAnsi="Times New Roman" w:cs="Times New Roman"/>
          <w:i/>
          <w:highlight w:val="white"/>
        </w:rPr>
        <w:t>), Karl Smith</w:t>
      </w:r>
    </w:p>
    <w:p w:rsidR="00A57394" w:rsidRDefault="00A61EE4">
      <w:pPr>
        <w:spacing w:after="0" w:line="240" w:lineRule="auto"/>
        <w:rPr>
          <w:rFonts w:ascii="Times New Roman" w:eastAsia="Times New Roman" w:hAnsi="Times New Roman" w:cs="Times New Roman"/>
          <w:i/>
          <w:highlight w:val="white"/>
        </w:rPr>
      </w:pPr>
      <w:r>
        <w:rPr>
          <w:rFonts w:ascii="Times New Roman" w:eastAsia="Times New Roman" w:hAnsi="Times New Roman" w:cs="Times New Roman"/>
          <w:b/>
          <w:i/>
          <w:highlight w:val="white"/>
        </w:rPr>
        <w:t>Excused:</w:t>
      </w:r>
      <w:r>
        <w:rPr>
          <w:rFonts w:ascii="Times New Roman" w:eastAsia="Times New Roman" w:hAnsi="Times New Roman" w:cs="Times New Roman"/>
          <w:i/>
          <w:highlight w:val="white"/>
        </w:rPr>
        <w:t xml:space="preserve"> Mark Pagano, </w:t>
      </w:r>
      <w:proofErr w:type="spellStart"/>
      <w:r>
        <w:rPr>
          <w:rFonts w:ascii="Times New Roman" w:eastAsia="Times New Roman" w:hAnsi="Times New Roman" w:cs="Times New Roman"/>
          <w:i/>
          <w:highlight w:val="white"/>
        </w:rPr>
        <w:t>Jutta</w:t>
      </w:r>
      <w:proofErr w:type="spellEnd"/>
      <w:r>
        <w:rPr>
          <w:rFonts w:ascii="Times New Roman" w:eastAsia="Times New Roman" w:hAnsi="Times New Roman" w:cs="Times New Roman"/>
          <w:i/>
          <w:highlight w:val="white"/>
        </w:rPr>
        <w:t xml:space="preserve"> Heller, </w:t>
      </w:r>
      <w:proofErr w:type="spellStart"/>
      <w:r>
        <w:rPr>
          <w:rFonts w:ascii="Times New Roman" w:eastAsia="Times New Roman" w:hAnsi="Times New Roman" w:cs="Times New Roman"/>
          <w:i/>
          <w:highlight w:val="white"/>
        </w:rPr>
        <w:t>Arindam</w:t>
      </w:r>
      <w:proofErr w:type="spellEnd"/>
      <w:r>
        <w:rPr>
          <w:rFonts w:ascii="Times New Roman" w:eastAsia="Times New Roman" w:hAnsi="Times New Roman" w:cs="Times New Roman"/>
          <w:i/>
          <w:highlight w:val="white"/>
        </w:rPr>
        <w:t xml:space="preserve"> </w:t>
      </w:r>
      <w:proofErr w:type="spellStart"/>
      <w:r>
        <w:rPr>
          <w:rFonts w:ascii="Times New Roman" w:eastAsia="Times New Roman" w:hAnsi="Times New Roman" w:cs="Times New Roman"/>
          <w:i/>
          <w:highlight w:val="white"/>
        </w:rPr>
        <w:t>Tripathy</w:t>
      </w:r>
      <w:proofErr w:type="spellEnd"/>
      <w:r>
        <w:rPr>
          <w:rFonts w:ascii="Times New Roman" w:eastAsia="Times New Roman" w:hAnsi="Times New Roman" w:cs="Times New Roman"/>
          <w:i/>
          <w:highlight w:val="white"/>
        </w:rPr>
        <w:t>, Jill Purdy</w:t>
      </w:r>
    </w:p>
    <w:p w:rsidR="00A57394" w:rsidRDefault="00A61EE4">
      <w:pPr>
        <w:spacing w:after="0" w:line="240" w:lineRule="auto"/>
        <w:rPr>
          <w:rFonts w:ascii="Times New Roman" w:eastAsia="Times New Roman" w:hAnsi="Times New Roman" w:cs="Times New Roman"/>
          <w:i/>
          <w:highlight w:val="white"/>
        </w:rPr>
      </w:pPr>
      <w:r>
        <w:rPr>
          <w:rFonts w:ascii="Times New Roman" w:eastAsia="Times New Roman" w:hAnsi="Times New Roman" w:cs="Times New Roman"/>
          <w:b/>
          <w:i/>
          <w:highlight w:val="white"/>
        </w:rPr>
        <w:t>Absent:</w:t>
      </w:r>
      <w:r>
        <w:rPr>
          <w:rFonts w:ascii="Times New Roman" w:eastAsia="Times New Roman" w:hAnsi="Times New Roman" w:cs="Times New Roman"/>
          <w:i/>
          <w:highlight w:val="white"/>
        </w:rPr>
        <w:t xml:space="preserve"> Charles </w:t>
      </w:r>
      <w:proofErr w:type="spellStart"/>
      <w:r>
        <w:rPr>
          <w:rFonts w:ascii="Times New Roman" w:eastAsia="Times New Roman" w:hAnsi="Times New Roman" w:cs="Times New Roman"/>
          <w:i/>
          <w:highlight w:val="white"/>
        </w:rPr>
        <w:t>Costarella</w:t>
      </w:r>
      <w:proofErr w:type="spellEnd"/>
    </w:p>
    <w:p w:rsidR="00A57394" w:rsidRDefault="00A57394">
      <w:pPr>
        <w:spacing w:after="0" w:line="240" w:lineRule="auto"/>
        <w:rPr>
          <w:rFonts w:ascii="Times New Roman" w:eastAsia="Times New Roman" w:hAnsi="Times New Roman" w:cs="Times New Roman"/>
          <w:b/>
          <w:i/>
          <w:highlight w:val="white"/>
        </w:rPr>
      </w:pPr>
    </w:p>
    <w:p w:rsidR="00A57394" w:rsidRDefault="00A61EE4">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Consent Agenda, Recording Permission, &amp; Approval of Minutes</w:t>
      </w:r>
    </w:p>
    <w:p w:rsidR="00A57394" w:rsidRDefault="00A61EE4">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The agenda and the March 5, 2018 Executive Council meeting minutes were approved.</w:t>
      </w:r>
    </w:p>
    <w:p w:rsidR="00A57394" w:rsidRDefault="00A61EE4">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Recording permission for the minutes was given.</w:t>
      </w:r>
    </w:p>
    <w:p w:rsidR="00A57394" w:rsidRDefault="00A61EE4">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Announcements</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The Office of Undergraduate Education is bringing a guest speaker on May 15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Dr. Terrell Strayhorn, who is a s</w:t>
      </w:r>
      <w:r>
        <w:rPr>
          <w:rFonts w:ascii="Times New Roman" w:eastAsia="Times New Roman" w:hAnsi="Times New Roman" w:cs="Times New Roman"/>
          <w:color w:val="000000"/>
        </w:rPr>
        <w:t xml:space="preserve">cholar and leader in the area of inclusive universities. Please spread the word to your colleagues. </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April 4th is the 50th anniversary of Dr. Martin Luther King Jr.’s death. UW Tacoma will memorialize him with a bell toll at 4:01pm out on UW steps.</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 xml:space="preserve"> There </w:t>
      </w:r>
      <w:r>
        <w:rPr>
          <w:rFonts w:ascii="Times New Roman" w:eastAsia="Times New Roman" w:hAnsi="Times New Roman" w:cs="Times New Roman"/>
          <w:color w:val="000000"/>
        </w:rPr>
        <w:t xml:space="preserve">have been concerns about logging in with </w:t>
      </w:r>
      <w:proofErr w:type="spellStart"/>
      <w:r>
        <w:rPr>
          <w:rFonts w:ascii="Times New Roman" w:eastAsia="Times New Roman" w:hAnsi="Times New Roman" w:cs="Times New Roman"/>
          <w:color w:val="000000"/>
        </w:rPr>
        <w:t>UWNetIDs</w:t>
      </w:r>
      <w:proofErr w:type="spellEnd"/>
      <w:r>
        <w:rPr>
          <w:rFonts w:ascii="Times New Roman" w:eastAsia="Times New Roman" w:hAnsi="Times New Roman" w:cs="Times New Roman"/>
          <w:color w:val="000000"/>
        </w:rPr>
        <w:t xml:space="preserve"> onto the EVCAA feedback form on catalyst. Thus, there are paper copies to fill out and the search committee will send the feedback form as word file via email so people can type and turn it in anonymously. </w:t>
      </w:r>
      <w:r>
        <w:rPr>
          <w:rFonts w:ascii="Times New Roman" w:eastAsia="Times New Roman" w:hAnsi="Times New Roman" w:cs="Times New Roman"/>
          <w:color w:val="000000"/>
        </w:rPr>
        <w:t>Feedback will be received until next Tuesday, 5pm.</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The Vice Chair of Faculty Assembly nominations will open on April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The message to faculty will include a summary of time commitments and list of monthly meetings</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Follow up on dogs on campus policy ques</w:t>
      </w:r>
      <w:r>
        <w:rPr>
          <w:rFonts w:ascii="Times New Roman" w:eastAsia="Times New Roman" w:hAnsi="Times New Roman" w:cs="Times New Roman"/>
          <w:color w:val="000000"/>
        </w:rPr>
        <w:t>tion: Susan Wagshul-Golden, campus safety director confirmed that if you have a student who wants to bring dog to campus, the student can apply for an emotional support animal (different from service animal). An argument would have to be made that the stud</w:t>
      </w:r>
      <w:r>
        <w:rPr>
          <w:rFonts w:ascii="Times New Roman" w:eastAsia="Times New Roman" w:hAnsi="Times New Roman" w:cs="Times New Roman"/>
          <w:color w:val="000000"/>
        </w:rPr>
        <w:t>ent would be able to better function in class with that animal.</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EC members asked: What happens for students who have anxiety about animals or are allergic? Answer: This will have to be on a case by case basis. If those issues arise, it will be discussed by the appropriate parties</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The emotional support animal designatio</w:t>
      </w:r>
      <w:r>
        <w:rPr>
          <w:rFonts w:ascii="Times New Roman" w:eastAsia="Times New Roman" w:hAnsi="Times New Roman" w:cs="Times New Roman"/>
          <w:color w:val="000000"/>
        </w:rPr>
        <w:t>n is just campus level (service animal rights are within and protected by the ADA).</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How do we know if animal is approved? Lauren will find website that lists questions you can ask a person who brings animal and will circulate to EC.</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Follow up on elevator-u</w:t>
      </w:r>
      <w:r>
        <w:rPr>
          <w:rFonts w:ascii="Times New Roman" w:eastAsia="Times New Roman" w:hAnsi="Times New Roman" w:cs="Times New Roman"/>
          <w:color w:val="000000"/>
        </w:rPr>
        <w:t>se after-hours: individual students can apply to get a card to access any floor and the DRS can help with accommodations for students.</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Spring quarter unit reports: EC members were asked to gather teaching load data by rank across their units and include th</w:t>
      </w:r>
      <w:r>
        <w:rPr>
          <w:rFonts w:ascii="Times New Roman" w:eastAsia="Times New Roman" w:hAnsi="Times New Roman" w:cs="Times New Roman"/>
          <w:color w:val="000000"/>
        </w:rPr>
        <w:t>e context of course caps.</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EC members discussed potentially trying to gather information on service loads. EC decided to look into that further next academic year since it is a challenging thing to quantify and compare across units and disciplines.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 xml:space="preserve">how to </w:t>
      </w:r>
      <w:r>
        <w:rPr>
          <w:rFonts w:ascii="Times New Roman" w:eastAsia="Times New Roman" w:hAnsi="Times New Roman" w:cs="Times New Roman"/>
          <w:color w:val="000000"/>
        </w:rPr>
        <w:t>measure it and set expectations</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some service information is captured in annual faculty report – every faculty member does an activity report – but those are written differently by each person</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proofErr w:type="gramStart"/>
      <w:r>
        <w:rPr>
          <w:rFonts w:ascii="Times New Roman" w:eastAsia="Times New Roman" w:hAnsi="Times New Roman" w:cs="Times New Roman"/>
          <w:color w:val="000000"/>
        </w:rPr>
        <w:t>it</w:t>
      </w:r>
      <w:proofErr w:type="gramEnd"/>
      <w:r>
        <w:rPr>
          <w:rFonts w:ascii="Times New Roman" w:eastAsia="Times New Roman" w:hAnsi="Times New Roman" w:cs="Times New Roman"/>
          <w:color w:val="000000"/>
        </w:rPr>
        <w:t xml:space="preserve"> would be good for the whole campus to have a service template</w:t>
      </w:r>
      <w:r>
        <w:rPr>
          <w:rFonts w:ascii="Times New Roman" w:eastAsia="Times New Roman" w:hAnsi="Times New Roman" w:cs="Times New Roman"/>
          <w:color w:val="000000"/>
        </w:rPr>
        <w:t xml:space="preserve"> – all faculty could fill out annually – could we do this this year, or next year? </w:t>
      </w:r>
    </w:p>
    <w:p w:rsidR="00A57394" w:rsidRDefault="00A61EE4">
      <w:pPr>
        <w:numPr>
          <w:ilvl w:val="4"/>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IT has a service template, but it is not detailed or required, just suggested. The template could be different for each unit. It should be at unit level since there are different expectations across units</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Why do we want to gather this information? What’s t</w:t>
      </w:r>
      <w:r>
        <w:rPr>
          <w:rFonts w:ascii="Times New Roman" w:eastAsia="Times New Roman" w:hAnsi="Times New Roman" w:cs="Times New Roman"/>
          <w:color w:val="000000"/>
        </w:rPr>
        <w:t xml:space="preserve">he purpose?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We have discussed the idea of needing to protect faculty members from their units? But if a service-report template and service expectations are a unit level decision, there is no purpose in trying to protect faculty from their units. In this case, we need</w:t>
      </w:r>
      <w:r>
        <w:rPr>
          <w:rFonts w:ascii="Times New Roman" w:eastAsia="Times New Roman" w:hAnsi="Times New Roman" w:cs="Times New Roman"/>
          <w:color w:val="000000"/>
        </w:rPr>
        <w:t xml:space="preserve"> campus guidelines or at least the suggestive power of a common template to collect data. Deans/Directors can look at it and compare. As an example: Deans/Directors are feeling pressure from the Equitable Teaching Policy Guidelines that EC passed.</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Paying a</w:t>
      </w:r>
      <w:r>
        <w:rPr>
          <w:rFonts w:ascii="Times New Roman" w:eastAsia="Times New Roman" w:hAnsi="Times New Roman" w:cs="Times New Roman"/>
          <w:color w:val="000000"/>
        </w:rPr>
        <w:t>ttention to service is important.</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Ka</w:t>
      </w:r>
      <w:proofErr w:type="spellEnd"/>
      <w:r>
        <w:rPr>
          <w:rFonts w:ascii="Times New Roman" w:eastAsia="Times New Roman" w:hAnsi="Times New Roman" w:cs="Times New Roman"/>
          <w:color w:val="000000"/>
        </w:rPr>
        <w:t xml:space="preserve"> Yee will send around template and EC will look into this further next year.</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 xml:space="preserve">Ellen and Nicole have taken on the project of student focus groups. </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Would it be possible for us for us to do larger scale, across campus– wouldn’t it be better to look broader?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It is better to be more inclusive, but we at least need a place to start. Next year the campus climate survey will involve students and capture im</w:t>
      </w:r>
      <w:r>
        <w:rPr>
          <w:rFonts w:ascii="Times New Roman" w:eastAsia="Times New Roman" w:hAnsi="Times New Roman" w:cs="Times New Roman"/>
          <w:color w:val="000000"/>
        </w:rPr>
        <w:t xml:space="preserve">portant data.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Idea for Faculty Assembly to offer listening sessions to campus in order to hear from students. Many want to hear the student perspective. We can get better at this as we go.</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 xml:space="preserve">Academic planning stage three: alert units that we are asking for </w:t>
      </w:r>
      <w:r>
        <w:rPr>
          <w:rFonts w:ascii="Times New Roman" w:eastAsia="Times New Roman" w:hAnsi="Times New Roman" w:cs="Times New Roman"/>
          <w:color w:val="000000"/>
        </w:rPr>
        <w:t xml:space="preserve">feedback on the criteria that will be used to create the Academic Plan from all faculty via catalyst. APCC and EC will also provide feedback and will review the faculty feedback. Then the draft plan will come to EC. These are the mechanisms for faculty to </w:t>
      </w:r>
      <w:r>
        <w:rPr>
          <w:rFonts w:ascii="Times New Roman" w:eastAsia="Times New Roman" w:hAnsi="Times New Roman" w:cs="Times New Roman"/>
          <w:color w:val="000000"/>
        </w:rPr>
        <w:t>have input on the plan.</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rPr>
        <w:t xml:space="preserve">Spring FA meeting: 5/25/18 – </w:t>
      </w:r>
      <w:r>
        <w:rPr>
          <w:rFonts w:ascii="Times New Roman" w:eastAsia="Times New Roman" w:hAnsi="Times New Roman" w:cs="Times New Roman"/>
          <w:i/>
          <w:color w:val="000000"/>
        </w:rPr>
        <w:t xml:space="preserve">please note the new date. Time: 1-3pm. Location: </w:t>
      </w:r>
      <w:proofErr w:type="spellStart"/>
      <w:r>
        <w:rPr>
          <w:rFonts w:ascii="Times New Roman" w:eastAsia="Times New Roman" w:hAnsi="Times New Roman" w:cs="Times New Roman"/>
          <w:i/>
          <w:color w:val="000000"/>
        </w:rPr>
        <w:t>Carwein</w:t>
      </w:r>
      <w:proofErr w:type="spellEnd"/>
      <w:r>
        <w:rPr>
          <w:rFonts w:ascii="Times New Roman" w:eastAsia="Times New Roman" w:hAnsi="Times New Roman" w:cs="Times New Roman"/>
          <w:i/>
          <w:color w:val="000000"/>
        </w:rPr>
        <w:t xml:space="preserve"> Auditorium.</w:t>
      </w:r>
      <w:r>
        <w:rPr>
          <w:rFonts w:ascii="Times New Roman" w:eastAsia="Times New Roman" w:hAnsi="Times New Roman" w:cs="Times New Roman"/>
          <w:color w:val="000000"/>
        </w:rPr>
        <w:t xml:space="preserve"> </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This meeting will be focused on the results of the Academic Planning Exercise.</w:t>
      </w:r>
    </w:p>
    <w:p w:rsidR="00A57394" w:rsidRDefault="00A61EE4">
      <w:pPr>
        <w:numPr>
          <w:ilvl w:val="0"/>
          <w:numId w:val="2"/>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b/>
          <w:u w:val="single"/>
        </w:rPr>
        <w:t>Professional Development Chart: Dean and Director Feed</w:t>
      </w:r>
      <w:r>
        <w:rPr>
          <w:rFonts w:ascii="Times New Roman" w:eastAsia="Times New Roman" w:hAnsi="Times New Roman" w:cs="Times New Roman"/>
          <w:b/>
          <w:u w:val="single"/>
        </w:rPr>
        <w:t>back &amp; Final Dispensation</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Lecturer Affairs Committee organized the collection of this professional development information. It was meant to inform lecturers, but they realized that others might be interested in seeing it too. They wanted to be intentional about how they shared </w:t>
      </w:r>
      <w:r>
        <w:rPr>
          <w:rFonts w:ascii="Times New Roman" w:eastAsia="Times New Roman" w:hAnsi="Times New Roman" w:cs="Times New Roman"/>
          <w:sz w:val="24"/>
          <w:szCs w:val="24"/>
        </w:rPr>
        <w:t>it (not just on a website) and thus brought it to EC. Both percent and dollar amount charts were shared with EC so that EC reps would have context to talk to your units about it.</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Deans and Directors were surprised by this chart when it was shared with them</w:t>
      </w:r>
      <w:r>
        <w:rPr>
          <w:rFonts w:ascii="Times New Roman" w:eastAsia="Times New Roman" w:hAnsi="Times New Roman" w:cs="Times New Roman"/>
          <w:sz w:val="24"/>
          <w:szCs w:val="24"/>
        </w:rPr>
        <w:t>. If EC publicizes it, deans/directors would like it to be without money amounts.</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EC members talked about the need for context and mechanisms for dispensation:</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Some academic units generate summer funds that go toward faculty professional development</w:t>
      </w:r>
    </w:p>
    <w:p w:rsidR="00A57394" w:rsidRDefault="00A61EE4">
      <w:pPr>
        <w:numPr>
          <w:ilvl w:val="4"/>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SWCJ a</w:t>
      </w:r>
      <w:r>
        <w:rPr>
          <w:rFonts w:ascii="Times New Roman" w:eastAsia="Times New Roman" w:hAnsi="Times New Roman" w:cs="Times New Roman"/>
          <w:sz w:val="24"/>
          <w:szCs w:val="24"/>
        </w:rPr>
        <w:t>nd SOE each have mandatory summer programs that generate more revenue for those units</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 xml:space="preserve">The information could be announced at unit meetings; put on unit agendas to display the table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Some members expressed nervousness about showing the numbers, even though t</w:t>
      </w:r>
      <w:r>
        <w:rPr>
          <w:rFonts w:ascii="Times New Roman" w:eastAsia="Times New Roman" w:hAnsi="Times New Roman" w:cs="Times New Roman"/>
          <w:sz w:val="24"/>
          <w:szCs w:val="24"/>
        </w:rPr>
        <w:t>hey tell an important story</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 xml:space="preserve">Who is the information for? Faculty.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What’s the purpose of showing it? To see how faculty members are treated relative to each other</w:t>
      </w:r>
    </w:p>
    <w:p w:rsidR="00A57394" w:rsidRDefault="00A61EE4">
      <w:pPr>
        <w:numPr>
          <w:ilvl w:val="4"/>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we’re worried about the actual amount of money, then that’s a different motive. </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The numbers show that SIAS lecturers are the only ones who cannot pay for a conference</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Independent unit summer budgets will not be used moving forward and summer revenue will be held centrally (according to Vice Chancellor for Finance and Administration)</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here is an important difference among faculty ranks in terms of which are afforded one conference or two and a half conferences without having to apply for other funding</w:t>
      </w:r>
    </w:p>
    <w:p w:rsidR="00A57394" w:rsidRDefault="00A61EE4">
      <w:pPr>
        <w:numPr>
          <w:ilvl w:val="4"/>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SIAS has a teaching fund that accepts applications for attending conferences. Assistan</w:t>
      </w:r>
      <w:r>
        <w:rPr>
          <w:rFonts w:ascii="Times New Roman" w:eastAsia="Times New Roman" w:hAnsi="Times New Roman" w:cs="Times New Roman"/>
          <w:sz w:val="24"/>
          <w:szCs w:val="24"/>
        </w:rPr>
        <w:t>t professors get first priority; lecturers do not get priority; this fund always receives more applications than there is funding for</w:t>
      </w:r>
    </w:p>
    <w:p w:rsidR="00A57394" w:rsidRDefault="00A61EE4">
      <w:pPr>
        <w:numPr>
          <w:ilvl w:val="4"/>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SWCJ has an application process for research funds, but there are no other back up funds for other professional developmen</w:t>
      </w:r>
      <w:r>
        <w:rPr>
          <w:rFonts w:ascii="Times New Roman" w:eastAsia="Times New Roman" w:hAnsi="Times New Roman" w:cs="Times New Roman"/>
          <w:sz w:val="24"/>
          <w:szCs w:val="24"/>
        </w:rPr>
        <w:t xml:space="preserve">t  </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EC took a “straw poll” to determine direct the discussion:</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Release only percent amounts – seven in favor</w:t>
      </w:r>
    </w:p>
    <w:p w:rsidR="00A57394" w:rsidRDefault="00A61EE4">
      <w:pPr>
        <w:numPr>
          <w:ilvl w:val="3"/>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sz w:val="24"/>
          <w:szCs w:val="24"/>
        </w:rPr>
      </w:pPr>
      <w:r>
        <w:rPr>
          <w:rFonts w:ascii="Times New Roman" w:eastAsia="Times New Roman" w:hAnsi="Times New Roman" w:cs="Times New Roman"/>
          <w:sz w:val="24"/>
          <w:szCs w:val="24"/>
        </w:rPr>
        <w:t>Release dollar amounts – seven in favor</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EC members agreed that both require context, that transparency is important, and that the information will spark conversations about important issues</w:t>
      </w:r>
    </w:p>
    <w:p w:rsidR="00A57394" w:rsidRDefault="00A61EE4">
      <w:pPr>
        <w:numPr>
          <w:ilvl w:val="2"/>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EC agreed to attach an addendum to the dollar amounts chart and ask deans/directors to write a paragraph o</w:t>
      </w:r>
      <w:r>
        <w:rPr>
          <w:rFonts w:ascii="Times New Roman" w:eastAsia="Times New Roman" w:hAnsi="Times New Roman" w:cs="Times New Roman"/>
          <w:sz w:val="24"/>
          <w:szCs w:val="24"/>
        </w:rPr>
        <w:t>f context to add to the addendum before release</w:t>
      </w:r>
    </w:p>
    <w:p w:rsidR="00A57394" w:rsidRDefault="00A61EE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VOTE:</w:t>
      </w:r>
      <w:r>
        <w:rPr>
          <w:rFonts w:ascii="Times New Roman" w:eastAsia="Times New Roman" w:hAnsi="Times New Roman" w:cs="Times New Roman"/>
          <w:sz w:val="24"/>
          <w:szCs w:val="24"/>
        </w:rPr>
        <w:t xml:space="preserve"> 11 in favor, 6 opposed/abstain, 3 absent, 20 eligible.</w:t>
      </w:r>
    </w:p>
    <w:p w:rsidR="00A57394" w:rsidRDefault="00A61EE4">
      <w:pPr>
        <w:numPr>
          <w:ilvl w:val="0"/>
          <w:numId w:val="2"/>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b/>
          <w:u w:val="single"/>
        </w:rPr>
        <w:t>Revisions to Diversity Designation REVIEW Process</w:t>
      </w:r>
      <w:r>
        <w:rPr>
          <w:rFonts w:ascii="Times New Roman" w:eastAsia="Times New Roman" w:hAnsi="Times New Roman" w:cs="Times New Roman"/>
        </w:rPr>
        <w:t xml:space="preserve"> - </w:t>
      </w:r>
      <w:proofErr w:type="spellStart"/>
      <w:r>
        <w:rPr>
          <w:rFonts w:ascii="Times New Roman" w:eastAsia="Times New Roman" w:hAnsi="Times New Roman" w:cs="Times New Roman"/>
          <w:i/>
        </w:rPr>
        <w:t>Menaka</w:t>
      </w:r>
      <w:proofErr w:type="spellEnd"/>
      <w:r>
        <w:rPr>
          <w:rFonts w:ascii="Times New Roman" w:eastAsia="Times New Roman" w:hAnsi="Times New Roman" w:cs="Times New Roman"/>
          <w:i/>
        </w:rPr>
        <w:t xml:space="preserve"> Abraham, APCC Chair</w:t>
      </w:r>
      <w:r>
        <w:rPr>
          <w:rFonts w:ascii="Times New Roman" w:eastAsia="Times New Roman" w:hAnsi="Times New Roman" w:cs="Times New Roman"/>
        </w:rPr>
        <w:tab/>
      </w:r>
      <w:r>
        <w:rPr>
          <w:rFonts w:ascii="Times New Roman" w:eastAsia="Times New Roman" w:hAnsi="Times New Roman" w:cs="Times New Roman"/>
          <w:b/>
          <w:u w:val="single"/>
        </w:rPr>
        <w:t>APPENDIX B</w:t>
      </w:r>
    </w:p>
    <w:p w:rsidR="00A57394" w:rsidRDefault="00A61EE4">
      <w:pPr>
        <w:numPr>
          <w:ilvl w:val="1"/>
          <w:numId w:val="2"/>
        </w:numPr>
        <w:spacing w:after="0" w:line="240" w:lineRule="auto"/>
        <w:contextualSpacing/>
      </w:pPr>
      <w:r>
        <w:rPr>
          <w:rFonts w:ascii="Times New Roman" w:eastAsia="Times New Roman" w:hAnsi="Times New Roman" w:cs="Times New Roman"/>
        </w:rPr>
        <w:t>There were no questions/comments/concerns.</w:t>
      </w:r>
    </w:p>
    <w:p w:rsidR="00A57394" w:rsidRDefault="00A61EE4">
      <w:pPr>
        <w:spacing w:after="0" w:line="240" w:lineRule="auto"/>
        <w:rPr>
          <w:rFonts w:ascii="Times New Roman" w:eastAsia="Times New Roman" w:hAnsi="Times New Roman" w:cs="Times New Roman"/>
        </w:rPr>
      </w:pPr>
      <w:r>
        <w:rPr>
          <w:rFonts w:ascii="Times New Roman" w:eastAsia="Times New Roman" w:hAnsi="Times New Roman" w:cs="Times New Roman"/>
          <w:b/>
        </w:rPr>
        <w:t>VOTE:</w:t>
      </w:r>
      <w:r>
        <w:rPr>
          <w:rFonts w:ascii="Times New Roman" w:eastAsia="Times New Roman" w:hAnsi="Times New Roman" w:cs="Times New Roman"/>
        </w:rPr>
        <w:t xml:space="preserve"> DC Grant moved; </w:t>
      </w:r>
      <w:proofErr w:type="spellStart"/>
      <w:r>
        <w:rPr>
          <w:rFonts w:ascii="Times New Roman" w:eastAsia="Times New Roman" w:hAnsi="Times New Roman" w:cs="Times New Roman"/>
        </w:rPr>
        <w:t>Loly</w:t>
      </w:r>
      <w:proofErr w:type="spellEnd"/>
      <w:r>
        <w:rPr>
          <w:rFonts w:ascii="Times New Roman" w:eastAsia="Times New Roman" w:hAnsi="Times New Roman" w:cs="Times New Roman"/>
        </w:rPr>
        <w:t xml:space="preserve"> Alcaide </w:t>
      </w:r>
      <w:proofErr w:type="spellStart"/>
      <w:r>
        <w:rPr>
          <w:rFonts w:ascii="Times New Roman" w:eastAsia="Times New Roman" w:hAnsi="Times New Roman" w:cs="Times New Roman"/>
        </w:rPr>
        <w:t>Rameriz</w:t>
      </w:r>
      <w:proofErr w:type="spellEnd"/>
      <w:r>
        <w:rPr>
          <w:rFonts w:ascii="Times New Roman" w:eastAsia="Times New Roman" w:hAnsi="Times New Roman" w:cs="Times New Roman"/>
        </w:rPr>
        <w:t xml:space="preserve"> seconded; 16 in favor; 1 abstain, 0 opposed, 3 absent, 20 eligible.</w:t>
      </w:r>
    </w:p>
    <w:p w:rsidR="00A57394" w:rsidRDefault="00A61EE4">
      <w:pPr>
        <w:numPr>
          <w:ilvl w:val="0"/>
          <w:numId w:val="2"/>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b/>
          <w:u w:val="single"/>
        </w:rPr>
        <w:t xml:space="preserve">Admissions: Report and Review Current Practices  </w:t>
      </w:r>
      <w:r>
        <w:rPr>
          <w:rFonts w:ascii="Times New Roman" w:eastAsia="Times New Roman" w:hAnsi="Times New Roman" w:cs="Times New Roman"/>
          <w:i/>
        </w:rPr>
        <w:t xml:space="preserve"> - Karl Smith, Associate Vice Chancellor &amp; Chief Admissions Officer</w:t>
      </w:r>
    </w:p>
    <w:p w:rsidR="00A57394" w:rsidRDefault="00A61EE4">
      <w:pPr>
        <w:numPr>
          <w:ilvl w:val="1"/>
          <w:numId w:val="2"/>
        </w:numPr>
        <w:spacing w:after="0" w:line="240" w:lineRule="auto"/>
        <w:contextualSpacing/>
      </w:pPr>
      <w:r>
        <w:rPr>
          <w:rFonts w:ascii="Times New Roman" w:eastAsia="Times New Roman" w:hAnsi="Times New Roman" w:cs="Times New Roman"/>
        </w:rPr>
        <w:lastRenderedPageBreak/>
        <w:t>College academic distribution req</w:t>
      </w:r>
      <w:r>
        <w:rPr>
          <w:rFonts w:ascii="Times New Roman" w:eastAsia="Times New Roman" w:hAnsi="Times New Roman" w:cs="Times New Roman"/>
        </w:rPr>
        <w:t>uirements (CADR’s): from the State</w:t>
      </w:r>
    </w:p>
    <w:p w:rsidR="00A57394" w:rsidRDefault="00A61EE4">
      <w:pPr>
        <w:numPr>
          <w:ilvl w:val="1"/>
          <w:numId w:val="2"/>
        </w:numPr>
        <w:spacing w:after="0" w:line="240" w:lineRule="auto"/>
        <w:contextualSpacing/>
      </w:pPr>
      <w:r>
        <w:rPr>
          <w:rFonts w:ascii="Times New Roman" w:eastAsia="Times New Roman" w:hAnsi="Times New Roman" w:cs="Times New Roman"/>
        </w:rPr>
        <w:t xml:space="preserve">Presented a table of enrollment summary with admission deficiencies in </w:t>
      </w:r>
      <w:proofErr w:type="gramStart"/>
      <w:r>
        <w:rPr>
          <w:rFonts w:ascii="Times New Roman" w:eastAsia="Times New Roman" w:hAnsi="Times New Roman" w:cs="Times New Roman"/>
        </w:rPr>
        <w:t>Autumn</w:t>
      </w:r>
      <w:proofErr w:type="gramEnd"/>
      <w:r>
        <w:rPr>
          <w:rFonts w:ascii="Times New Roman" w:eastAsia="Times New Roman" w:hAnsi="Times New Roman" w:cs="Times New Roman"/>
        </w:rPr>
        <w:t xml:space="preserve"> 2017. World language contributes to most of the deficiencies.</w:t>
      </w:r>
    </w:p>
    <w:p w:rsidR="00A57394" w:rsidRDefault="00A61EE4">
      <w:pPr>
        <w:numPr>
          <w:ilvl w:val="1"/>
          <w:numId w:val="2"/>
        </w:numPr>
        <w:spacing w:after="0" w:line="240" w:lineRule="auto"/>
        <w:contextualSpacing/>
      </w:pPr>
      <w:r>
        <w:rPr>
          <w:rFonts w:ascii="Times New Roman" w:eastAsia="Times New Roman" w:hAnsi="Times New Roman" w:cs="Times New Roman"/>
        </w:rPr>
        <w:t>Admission process: initial assessment (different for high school vs. transfer stu</w:t>
      </w:r>
      <w:r>
        <w:rPr>
          <w:rFonts w:ascii="Times New Roman" w:eastAsia="Times New Roman" w:hAnsi="Times New Roman" w:cs="Times New Roman"/>
        </w:rPr>
        <w:t>dents), threshold review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GPA, SAT etc.), holistic reviews (e.g. background, AP classes, etc.)</w:t>
      </w:r>
    </w:p>
    <w:p w:rsidR="00A57394" w:rsidRDefault="00A61EE4">
      <w:pPr>
        <w:numPr>
          <w:ilvl w:val="1"/>
          <w:numId w:val="2"/>
        </w:numPr>
        <w:spacing w:after="0" w:line="240" w:lineRule="auto"/>
        <w:contextualSpacing/>
      </w:pPr>
      <w:r>
        <w:rPr>
          <w:rFonts w:ascii="Times New Roman" w:eastAsia="Times New Roman" w:hAnsi="Times New Roman" w:cs="Times New Roman"/>
        </w:rPr>
        <w:t xml:space="preserve">New students admitted with an admissions deficiency in </w:t>
      </w:r>
      <w:proofErr w:type="gramStart"/>
      <w:r>
        <w:rPr>
          <w:rFonts w:ascii="Times New Roman" w:eastAsia="Times New Roman" w:hAnsi="Times New Roman" w:cs="Times New Roman"/>
        </w:rPr>
        <w:t>Autumn</w:t>
      </w:r>
      <w:proofErr w:type="gramEnd"/>
      <w:r>
        <w:rPr>
          <w:rFonts w:ascii="Times New Roman" w:eastAsia="Times New Roman" w:hAnsi="Times New Roman" w:cs="Times New Roman"/>
        </w:rPr>
        <w:t xml:space="preserve"> 2017: most deficiencies in world language and lab science.</w:t>
      </w:r>
    </w:p>
    <w:p w:rsidR="00A57394" w:rsidRDefault="00A61EE4">
      <w:pPr>
        <w:numPr>
          <w:ilvl w:val="1"/>
          <w:numId w:val="2"/>
        </w:numPr>
        <w:spacing w:after="0" w:line="240" w:lineRule="auto"/>
        <w:contextualSpacing/>
      </w:pPr>
      <w:r>
        <w:rPr>
          <w:rFonts w:ascii="Times New Roman" w:eastAsia="Times New Roman" w:hAnsi="Times New Roman" w:cs="Times New Roman"/>
        </w:rPr>
        <w:t xml:space="preserve">Demographics of newly admitted deficient students in </w:t>
      </w:r>
      <w:proofErr w:type="gramStart"/>
      <w:r>
        <w:rPr>
          <w:rFonts w:ascii="Times New Roman" w:eastAsia="Times New Roman" w:hAnsi="Times New Roman" w:cs="Times New Roman"/>
        </w:rPr>
        <w:t>Autumn</w:t>
      </w:r>
      <w:proofErr w:type="gramEnd"/>
      <w:r>
        <w:rPr>
          <w:rFonts w:ascii="Times New Roman" w:eastAsia="Times New Roman" w:hAnsi="Times New Roman" w:cs="Times New Roman"/>
        </w:rPr>
        <w:t xml:space="preserve"> 2017.</w:t>
      </w:r>
    </w:p>
    <w:p w:rsidR="00A57394" w:rsidRDefault="00A61EE4">
      <w:pPr>
        <w:numPr>
          <w:ilvl w:val="1"/>
          <w:numId w:val="2"/>
        </w:numPr>
        <w:spacing w:after="0" w:line="240" w:lineRule="auto"/>
        <w:contextualSpacing/>
      </w:pPr>
      <w:r>
        <w:rPr>
          <w:rFonts w:ascii="Times New Roman" w:eastAsia="Times New Roman" w:hAnsi="Times New Roman" w:cs="Times New Roman"/>
        </w:rPr>
        <w:t>The Admissions Department would like to know from faculty how they should be reviewing the writing sample submitted by prospective students</w:t>
      </w:r>
    </w:p>
    <w:p w:rsidR="00A57394" w:rsidRDefault="00A61EE4">
      <w:pPr>
        <w:numPr>
          <w:ilvl w:val="2"/>
          <w:numId w:val="2"/>
        </w:numPr>
        <w:spacing w:after="0" w:line="240" w:lineRule="auto"/>
        <w:contextualSpacing/>
        <w:rPr>
          <w:rFonts w:ascii="Times New Roman" w:eastAsia="Times New Roman" w:hAnsi="Times New Roman" w:cs="Times New Roman"/>
          <w:b/>
        </w:rPr>
      </w:pPr>
      <w:r>
        <w:rPr>
          <w:rFonts w:ascii="Times New Roman" w:eastAsia="Times New Roman" w:hAnsi="Times New Roman" w:cs="Times New Roman"/>
        </w:rPr>
        <w:t>EC directed Karl to talk with the University Writi</w:t>
      </w:r>
      <w:r>
        <w:rPr>
          <w:rFonts w:ascii="Times New Roman" w:eastAsia="Times New Roman" w:hAnsi="Times New Roman" w:cs="Times New Roman"/>
        </w:rPr>
        <w:t>ng Director, Dr. Asao Inoue</w:t>
      </w:r>
    </w:p>
    <w:p w:rsidR="00A57394" w:rsidRDefault="00A61EE4">
      <w:pPr>
        <w:numPr>
          <w:ilvl w:val="0"/>
          <w:numId w:val="2"/>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b/>
          <w:u w:val="single"/>
        </w:rPr>
        <w:t>Proposed Policy on Teaching Evaluations - D.C. Grant, FAC Chair</w:t>
      </w:r>
      <w:r>
        <w:rPr>
          <w:rFonts w:ascii="Times New Roman" w:eastAsia="Times New Roman" w:hAnsi="Times New Roman" w:cs="Times New Roman"/>
          <w:b/>
          <w:u w:val="single"/>
        </w:rPr>
        <w:tab/>
        <w:t>APPENDIX A</w:t>
      </w:r>
      <w:r>
        <w:rPr>
          <w:rFonts w:ascii="Times New Roman" w:eastAsia="Times New Roman" w:hAnsi="Times New Roman" w:cs="Times New Roman"/>
          <w:b/>
          <w:u w:val="single"/>
        </w:rPr>
        <w:tab/>
      </w:r>
    </w:p>
    <w:p w:rsidR="00A57394" w:rsidRDefault="00A61EE4">
      <w:pPr>
        <w:numPr>
          <w:ilvl w:val="1"/>
          <w:numId w:val="2"/>
        </w:numPr>
        <w:spacing w:after="0" w:line="240" w:lineRule="auto"/>
        <w:contextualSpacing/>
      </w:pPr>
      <w:r>
        <w:rPr>
          <w:rFonts w:ascii="Times New Roman" w:eastAsia="Times New Roman" w:hAnsi="Times New Roman" w:cs="Times New Roman"/>
        </w:rPr>
        <w:t xml:space="preserve">In 2014 EC and EVCAA commissioned a Campus Fellows group to look into teaching evaluations </w:t>
      </w:r>
    </w:p>
    <w:p w:rsidR="00A57394" w:rsidRDefault="00A61EE4">
      <w:pPr>
        <w:numPr>
          <w:ilvl w:val="1"/>
          <w:numId w:val="2"/>
        </w:numPr>
        <w:spacing w:after="0" w:line="240" w:lineRule="auto"/>
        <w:contextualSpacing/>
      </w:pPr>
      <w:r>
        <w:rPr>
          <w:rFonts w:ascii="Times New Roman" w:eastAsia="Times New Roman" w:hAnsi="Times New Roman" w:cs="Times New Roman"/>
        </w:rPr>
        <w:t>This policy came out of their report</w:t>
      </w:r>
    </w:p>
    <w:p w:rsidR="00A57394" w:rsidRDefault="00A61EE4">
      <w:pPr>
        <w:numPr>
          <w:ilvl w:val="1"/>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color w:val="000000"/>
        </w:rPr>
      </w:pPr>
      <w:r>
        <w:rPr>
          <w:rFonts w:ascii="Times New Roman" w:eastAsia="Times New Roman" w:hAnsi="Times New Roman" w:cs="Times New Roman"/>
          <w:color w:val="000000"/>
          <w:sz w:val="24"/>
          <w:szCs w:val="24"/>
        </w:rPr>
        <w:t>EC discussed the propos</w:t>
      </w:r>
      <w:r>
        <w:rPr>
          <w:rFonts w:ascii="Times New Roman" w:eastAsia="Times New Roman" w:hAnsi="Times New Roman" w:cs="Times New Roman"/>
          <w:color w:val="000000"/>
          <w:sz w:val="24"/>
          <w:szCs w:val="24"/>
        </w:rPr>
        <w:t>ed policy and decided to ask FAC to</w:t>
      </w:r>
      <w:r>
        <w:rPr>
          <w:rFonts w:ascii="Times New Roman" w:eastAsia="Times New Roman" w:hAnsi="Times New Roman" w:cs="Times New Roman"/>
          <w:color w:val="000000"/>
        </w:rPr>
        <w:t xml:space="preserve"> elaborate on best practices in consultation with the Teaching Evaluation Campus Fellows (potentially as an addendum) and submit it again for the following EC meeting on 4.23.18</w:t>
      </w:r>
    </w:p>
    <w:p w:rsidR="00A57394" w:rsidRDefault="00A61EE4">
      <w:pPr>
        <w:numPr>
          <w:ilvl w:val="0"/>
          <w:numId w:val="2"/>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b/>
          <w:u w:val="single"/>
        </w:rPr>
        <w:t>Inclusive Pedagogy Readings - identify read</w:t>
      </w:r>
      <w:r>
        <w:rPr>
          <w:rFonts w:ascii="Times New Roman" w:eastAsia="Times New Roman" w:hAnsi="Times New Roman" w:cs="Times New Roman"/>
          <w:b/>
          <w:u w:val="single"/>
        </w:rPr>
        <w:t xml:space="preserve">ing to share with faculty in your unit </w:t>
      </w:r>
    </w:p>
    <w:p w:rsidR="00A57394" w:rsidRDefault="00A61EE4">
      <w:pPr>
        <w:numPr>
          <w:ilvl w:val="1"/>
          <w:numId w:val="2"/>
        </w:numPr>
        <w:spacing w:after="0" w:line="240" w:lineRule="auto"/>
        <w:contextualSpacing/>
      </w:pPr>
      <w:r>
        <w:rPr>
          <w:rFonts w:ascii="Times New Roman" w:eastAsia="Times New Roman" w:hAnsi="Times New Roman" w:cs="Times New Roman"/>
        </w:rPr>
        <w:t>Each unit has been asked to choose a reading and have a conversation; this is challenging but important.</w:t>
      </w:r>
    </w:p>
    <w:p w:rsidR="00A57394" w:rsidRDefault="00A61EE4">
      <w:pPr>
        <w:numPr>
          <w:ilvl w:val="1"/>
          <w:numId w:val="2"/>
        </w:numPr>
        <w:spacing w:after="0" w:line="240" w:lineRule="auto"/>
        <w:contextualSpacing/>
      </w:pPr>
      <w:r>
        <w:rPr>
          <w:rFonts w:ascii="Times New Roman" w:eastAsia="Times New Roman" w:hAnsi="Times New Roman" w:cs="Times New Roman"/>
        </w:rPr>
        <w:t>SIAS</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SIAS reps were concerned that perhaps one or two individual faculty members will select anecdotes to discuss and derail the larger conversation</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SIAS reps were encouraged to set up ground rules for the conversation</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Who will lead? SAIS has a Diversity Counci</w:t>
      </w:r>
      <w:r>
        <w:rPr>
          <w:rFonts w:ascii="Times New Roman" w:eastAsia="Times New Roman" w:hAnsi="Times New Roman" w:cs="Times New Roman"/>
        </w:rPr>
        <w:t>l who is putting together a policy guidelines document which will start more conversations. The SIAS reps have taken the idea of the inclusive pedagogy reading to the Diversity Council which meets monthly. SIAS reps will work through/with their Diversity C</w:t>
      </w:r>
      <w:r>
        <w:rPr>
          <w:rFonts w:ascii="Times New Roman" w:eastAsia="Times New Roman" w:hAnsi="Times New Roman" w:cs="Times New Roman"/>
        </w:rPr>
        <w:t>ouncil.</w:t>
      </w:r>
    </w:p>
    <w:p w:rsidR="00A57394" w:rsidRDefault="00A61EE4">
      <w:pPr>
        <w:numPr>
          <w:ilvl w:val="1"/>
          <w:numId w:val="2"/>
        </w:numPr>
        <w:spacing w:after="0" w:line="240" w:lineRule="auto"/>
        <w:contextualSpacing/>
      </w:pPr>
      <w:r>
        <w:rPr>
          <w:rFonts w:ascii="Times New Roman" w:eastAsia="Times New Roman" w:hAnsi="Times New Roman" w:cs="Times New Roman"/>
        </w:rPr>
        <w:t>IT</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IT reps have been working on this initiative via email communication. Chuck </w:t>
      </w:r>
      <w:proofErr w:type="spellStart"/>
      <w:r>
        <w:rPr>
          <w:rFonts w:ascii="Times New Roman" w:eastAsia="Times New Roman" w:hAnsi="Times New Roman" w:cs="Times New Roman"/>
        </w:rPr>
        <w:t>Costarella</w:t>
      </w:r>
      <w:proofErr w:type="spellEnd"/>
      <w:r>
        <w:rPr>
          <w:rFonts w:ascii="Times New Roman" w:eastAsia="Times New Roman" w:hAnsi="Times New Roman" w:cs="Times New Roman"/>
        </w:rPr>
        <w:t xml:space="preserve"> has sent his colleagues some of the videos and news articles that he has been using in his classroom. Chuck will help lead the conversation in IT.</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EC members </w:t>
      </w:r>
      <w:r>
        <w:rPr>
          <w:rFonts w:ascii="Times New Roman" w:eastAsia="Times New Roman" w:hAnsi="Times New Roman" w:cs="Times New Roman"/>
        </w:rPr>
        <w:t>asked if this will this be effective in IT to start conversation and IT reps confirmed it would be</w:t>
      </w:r>
    </w:p>
    <w:p w:rsidR="00A57394" w:rsidRDefault="00A61EE4">
      <w:pPr>
        <w:numPr>
          <w:ilvl w:val="1"/>
          <w:numId w:val="2"/>
        </w:numPr>
        <w:spacing w:after="0" w:line="240" w:lineRule="auto"/>
        <w:contextualSpacing/>
      </w:pPr>
      <w:r>
        <w:rPr>
          <w:rFonts w:ascii="Times New Roman" w:eastAsia="Times New Roman" w:hAnsi="Times New Roman" w:cs="Times New Roman"/>
        </w:rPr>
        <w:t>SOE</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SOE reps chose the </w:t>
      </w:r>
      <w:proofErr w:type="spellStart"/>
      <w:r>
        <w:rPr>
          <w:rFonts w:ascii="Times New Roman" w:eastAsia="Times New Roman" w:hAnsi="Times New Roman" w:cs="Times New Roman"/>
        </w:rPr>
        <w:t>DiAngelo</w:t>
      </w:r>
      <w:proofErr w:type="spellEnd"/>
      <w:r>
        <w:rPr>
          <w:rFonts w:ascii="Times New Roman" w:eastAsia="Times New Roman" w:hAnsi="Times New Roman" w:cs="Times New Roman"/>
        </w:rPr>
        <w:t xml:space="preserve"> piece</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They had also previously read a chapter on Safe Spaces to Braves Spaces</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 two readings will be bridged by an activity</w:t>
      </w:r>
    </w:p>
    <w:p w:rsidR="00A57394" w:rsidRDefault="00A61EE4">
      <w:pPr>
        <w:numPr>
          <w:ilvl w:val="1"/>
          <w:numId w:val="2"/>
        </w:numPr>
        <w:spacing w:after="0" w:line="240" w:lineRule="auto"/>
        <w:contextualSpacing/>
      </w:pPr>
      <w:r>
        <w:rPr>
          <w:rFonts w:ascii="Times New Roman" w:eastAsia="Times New Roman" w:hAnsi="Times New Roman" w:cs="Times New Roman"/>
        </w:rPr>
        <w:t>US</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US reps also chose the </w:t>
      </w:r>
      <w:proofErr w:type="spellStart"/>
      <w:r>
        <w:rPr>
          <w:rFonts w:ascii="Times New Roman" w:eastAsia="Times New Roman" w:hAnsi="Times New Roman" w:cs="Times New Roman"/>
        </w:rPr>
        <w:t>DiAngelo</w:t>
      </w:r>
      <w:proofErr w:type="spellEnd"/>
      <w:r>
        <w:rPr>
          <w:rFonts w:ascii="Times New Roman" w:eastAsia="Times New Roman" w:hAnsi="Times New Roman" w:cs="Times New Roman"/>
        </w:rPr>
        <w:t xml:space="preserve"> piece</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They expressed a concern about the potential attitude of busy people feeling patronized by homework; same reaction that comes from suggesting trainings workshops on same subject</w:t>
      </w:r>
    </w:p>
    <w:p w:rsidR="00A57394" w:rsidRDefault="00A61EE4">
      <w:pPr>
        <w:numPr>
          <w:ilvl w:val="1"/>
          <w:numId w:val="2"/>
        </w:numPr>
        <w:spacing w:after="0" w:line="240" w:lineRule="auto"/>
        <w:contextualSpacing/>
      </w:pPr>
      <w:r>
        <w:rPr>
          <w:rFonts w:ascii="Times New Roman" w:eastAsia="Times New Roman" w:hAnsi="Times New Roman" w:cs="Times New Roman"/>
        </w:rPr>
        <w:t>NHCL</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NHCL reps also selected the </w:t>
      </w:r>
      <w:proofErr w:type="spellStart"/>
      <w:r>
        <w:rPr>
          <w:rFonts w:ascii="Times New Roman" w:eastAsia="Times New Roman" w:hAnsi="Times New Roman" w:cs="Times New Roman"/>
        </w:rPr>
        <w:t>DiAngelo</w:t>
      </w:r>
      <w:proofErr w:type="spellEnd"/>
      <w:r>
        <w:rPr>
          <w:rFonts w:ascii="Times New Roman" w:eastAsia="Times New Roman" w:hAnsi="Times New Roman" w:cs="Times New Roman"/>
        </w:rPr>
        <w:t xml:space="preserve"> paper</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They also sent their unit all of the suggested readings</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NHCL has core diversity courses and they anticipate faculty being interested</w:t>
      </w:r>
    </w:p>
    <w:p w:rsidR="00A57394" w:rsidRDefault="00A61EE4">
      <w:pPr>
        <w:numPr>
          <w:ilvl w:val="1"/>
          <w:numId w:val="2"/>
        </w:numPr>
        <w:spacing w:after="0" w:line="240" w:lineRule="auto"/>
        <w:contextualSpacing/>
      </w:pPr>
      <w:proofErr w:type="spellStart"/>
      <w:r>
        <w:rPr>
          <w:rFonts w:ascii="Times New Roman" w:eastAsia="Times New Roman" w:hAnsi="Times New Roman" w:cs="Times New Roman"/>
        </w:rPr>
        <w:t>Milgard</w:t>
      </w:r>
      <w:proofErr w:type="spellEnd"/>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Will select article and then have discussion</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Similar concern about folks</w:t>
      </w:r>
      <w:r>
        <w:rPr>
          <w:rFonts w:ascii="Times New Roman" w:eastAsia="Times New Roman" w:hAnsi="Times New Roman" w:cs="Times New Roman"/>
        </w:rPr>
        <w:t xml:space="preserve"> having “homework” attitude</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Will work with faculty council chair to get the conversation on their faculty meeting agenda</w:t>
      </w:r>
    </w:p>
    <w:p w:rsidR="00A57394" w:rsidRDefault="00A61EE4">
      <w:pPr>
        <w:numPr>
          <w:ilvl w:val="1"/>
          <w:numId w:val="2"/>
        </w:numPr>
        <w:spacing w:after="0" w:line="240" w:lineRule="auto"/>
        <w:contextualSpacing/>
      </w:pPr>
      <w:r>
        <w:rPr>
          <w:rFonts w:ascii="Times New Roman" w:eastAsia="Times New Roman" w:hAnsi="Times New Roman" w:cs="Times New Roman"/>
        </w:rPr>
        <w:t>SWCJ</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They are also thinking about using the </w:t>
      </w:r>
      <w:proofErr w:type="spellStart"/>
      <w:r>
        <w:rPr>
          <w:rFonts w:ascii="Times New Roman" w:eastAsia="Times New Roman" w:hAnsi="Times New Roman" w:cs="Times New Roman"/>
        </w:rPr>
        <w:t>DiAngelo</w:t>
      </w:r>
      <w:proofErr w:type="spellEnd"/>
      <w:r>
        <w:rPr>
          <w:rFonts w:ascii="Times New Roman" w:eastAsia="Times New Roman" w:hAnsi="Times New Roman" w:cs="Times New Roman"/>
        </w:rPr>
        <w:t xml:space="preserve"> article, maybe Williams </w:t>
      </w:r>
      <w:proofErr w:type="gramStart"/>
      <w:r>
        <w:rPr>
          <w:rFonts w:ascii="Times New Roman" w:eastAsia="Times New Roman" w:hAnsi="Times New Roman" w:cs="Times New Roman"/>
        </w:rPr>
        <w:t>et</w:t>
      </w:r>
      <w:proofErr w:type="gramEnd"/>
      <w:r>
        <w:rPr>
          <w:rFonts w:ascii="Times New Roman" w:eastAsia="Times New Roman" w:hAnsi="Times New Roman" w:cs="Times New Roman"/>
        </w:rPr>
        <w:t>. al</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Concern about push back and the attitude of “we kno</w:t>
      </w:r>
      <w:r>
        <w:rPr>
          <w:rFonts w:ascii="Times New Roman" w:eastAsia="Times New Roman" w:hAnsi="Times New Roman" w:cs="Times New Roman"/>
        </w:rPr>
        <w:t>w this already”; faculty have expressed that this needs to be done on more of an institutional level, though, units also need to discuss these issues on their own level</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Strategy: request to be on agenda and asked feedback from the  SWCJ Diversity and Inclu</w:t>
      </w:r>
      <w:r>
        <w:rPr>
          <w:rFonts w:ascii="Times New Roman" w:eastAsia="Times New Roman" w:hAnsi="Times New Roman" w:cs="Times New Roman"/>
        </w:rPr>
        <w:t>sion Committee; they are trying to build buy-in</w:t>
      </w:r>
    </w:p>
    <w:p w:rsidR="00A57394" w:rsidRDefault="00A61EE4">
      <w:pPr>
        <w:numPr>
          <w:ilvl w:val="1"/>
          <w:numId w:val="2"/>
        </w:numPr>
        <w:spacing w:after="0" w:line="240" w:lineRule="auto"/>
        <w:contextualSpacing/>
      </w:pPr>
      <w:r>
        <w:rPr>
          <w:rFonts w:ascii="Times New Roman" w:eastAsia="Times New Roman" w:hAnsi="Times New Roman" w:cs="Times New Roman"/>
        </w:rPr>
        <w:t>Library</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Library rep. would like to have this conversation with the Library and the TLC</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Librarians are interested in what faculty are doing</w:t>
      </w:r>
    </w:p>
    <w:p w:rsidR="00A57394" w:rsidRDefault="00A61EE4">
      <w:pPr>
        <w:numPr>
          <w:ilvl w:val="1"/>
          <w:numId w:val="2"/>
        </w:numPr>
        <w:spacing w:after="0" w:line="240" w:lineRule="auto"/>
        <w:contextualSpacing/>
      </w:pPr>
      <w:r>
        <w:rPr>
          <w:rFonts w:ascii="Times New Roman" w:eastAsia="Times New Roman" w:hAnsi="Times New Roman" w:cs="Times New Roman"/>
        </w:rPr>
        <w:lastRenderedPageBreak/>
        <w:t>EC members brought up hearing of anecdotes of racist things faculty have done and said even just this year</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It has also been happening to faculty of color by other faculty</w:t>
      </w:r>
    </w:p>
    <w:p w:rsidR="00A57394" w:rsidRDefault="00A61EE4">
      <w:pPr>
        <w:numPr>
          <w:ilvl w:val="1"/>
          <w:numId w:val="2"/>
        </w:numPr>
        <w:spacing w:after="0" w:line="240" w:lineRule="auto"/>
        <w:contextualSpacing/>
      </w:pPr>
      <w:r>
        <w:rPr>
          <w:rFonts w:ascii="Times New Roman" w:eastAsia="Times New Roman" w:hAnsi="Times New Roman" w:cs="Times New Roman"/>
        </w:rPr>
        <w:t>Though these readings are important, there is not a magic reading, not a perfect one;</w:t>
      </w:r>
      <w:r>
        <w:rPr>
          <w:rFonts w:ascii="Times New Roman" w:eastAsia="Times New Roman" w:hAnsi="Times New Roman" w:cs="Times New Roman"/>
        </w:rPr>
        <w:t xml:space="preserve"> the reading is more of a device to have the conversation; conversations that will be triggered by the reading</w:t>
      </w:r>
    </w:p>
    <w:p w:rsidR="00A57394" w:rsidRDefault="00A61EE4">
      <w:pPr>
        <w:numPr>
          <w:ilvl w:val="1"/>
          <w:numId w:val="2"/>
        </w:numPr>
        <w:spacing w:after="0" w:line="240" w:lineRule="auto"/>
        <w:contextualSpacing/>
      </w:pPr>
      <w:r>
        <w:rPr>
          <w:rFonts w:ascii="Times New Roman" w:eastAsia="Times New Roman" w:hAnsi="Times New Roman" w:cs="Times New Roman"/>
        </w:rPr>
        <w:t>What are the goals of the conversation other than to start the conversation?</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Raising awareness</w:t>
      </w:r>
    </w:p>
    <w:p w:rsidR="00A57394" w:rsidRDefault="00A61EE4">
      <w:pPr>
        <w:numPr>
          <w:ilvl w:val="2"/>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Create a format where everyone has to grapple with</w:t>
      </w:r>
      <w:r>
        <w:rPr>
          <w:rFonts w:ascii="Times New Roman" w:eastAsia="Times New Roman" w:hAnsi="Times New Roman" w:cs="Times New Roman"/>
        </w:rPr>
        <w:t xml:space="preserve"> race and inclusion</w:t>
      </w:r>
    </w:p>
    <w:p w:rsidR="00A57394" w:rsidRDefault="00A61EE4">
      <w:pPr>
        <w:numPr>
          <w:ilvl w:val="0"/>
          <w:numId w:val="2"/>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b/>
        </w:rPr>
        <w:t xml:space="preserve">Adjourn    </w:t>
      </w:r>
    </w:p>
    <w:p w:rsidR="00A57394" w:rsidRDefault="00A61EE4">
      <w:r>
        <w:t xml:space="preserve"> </w:t>
      </w:r>
    </w:p>
    <w:p w:rsidR="00A57394" w:rsidRDefault="00A61EE4">
      <w:pPr>
        <w:rPr>
          <w:rFonts w:ascii="Times New Roman" w:eastAsia="Times New Roman" w:hAnsi="Times New Roman" w:cs="Times New Roman"/>
          <w:b/>
          <w:u w:val="single"/>
        </w:rPr>
      </w:pPr>
      <w:r>
        <w:rPr>
          <w:rFonts w:ascii="Times New Roman" w:eastAsia="Times New Roman" w:hAnsi="Times New Roman" w:cs="Times New Roman"/>
          <w:b/>
          <w:u w:val="single"/>
        </w:rPr>
        <w:t>APPENDIX A</w:t>
      </w:r>
    </w:p>
    <w:p w:rsidR="00A57394" w:rsidRDefault="00A57394">
      <w:pPr>
        <w:spacing w:after="0" w:line="240" w:lineRule="auto"/>
        <w:jc w:val="center"/>
        <w:rPr>
          <w:rFonts w:ascii="Times New Roman" w:eastAsia="Times New Roman" w:hAnsi="Times New Roman" w:cs="Times New Roman"/>
          <w:b/>
          <w:u w:val="single"/>
        </w:rPr>
      </w:pPr>
    </w:p>
    <w:p w:rsidR="00A57394" w:rsidRDefault="00A61EE4">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FAC Proposed Campus-Wide Policy for Teaching Evaluation</w:t>
      </w:r>
    </w:p>
    <w:p w:rsidR="00A57394" w:rsidRDefault="00A61EE4">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Approved by the Faculty Affairs Committee on 2.16.18</w:t>
      </w:r>
    </w:p>
    <w:p w:rsidR="00A57394" w:rsidRDefault="00A57394">
      <w:pPr>
        <w:spacing w:after="0" w:line="240" w:lineRule="auto"/>
        <w:rPr>
          <w:rFonts w:ascii="Times New Roman" w:eastAsia="Times New Roman" w:hAnsi="Times New Roman" w:cs="Times New Roman"/>
        </w:rPr>
      </w:pPr>
    </w:p>
    <w:p w:rsidR="00A57394" w:rsidRDefault="00A61EE4">
      <w:pPr>
        <w:spacing w:after="0" w:line="240" w:lineRule="auto"/>
        <w:rPr>
          <w:rFonts w:ascii="Times New Roman" w:eastAsia="Times New Roman" w:hAnsi="Times New Roman" w:cs="Times New Roman"/>
        </w:rPr>
      </w:pPr>
      <w:r>
        <w:rPr>
          <w:rFonts w:ascii="Times New Roman" w:eastAsia="Times New Roman" w:hAnsi="Times New Roman" w:cs="Times New Roman"/>
        </w:rPr>
        <w:t>In response to the 2016 Report of the Teaching Evaluation Campus Fellows, the Faculty Affairs Commit</w:t>
      </w:r>
      <w:r>
        <w:rPr>
          <w:rFonts w:ascii="Times New Roman" w:eastAsia="Times New Roman" w:hAnsi="Times New Roman" w:cs="Times New Roman"/>
        </w:rPr>
        <w:t>tee proposes the adoption of the following campus-wide policy:</w:t>
      </w:r>
    </w:p>
    <w:p w:rsidR="00A57394" w:rsidRDefault="00A57394">
      <w:pPr>
        <w:spacing w:after="0" w:line="240" w:lineRule="auto"/>
        <w:rPr>
          <w:rFonts w:ascii="Times New Roman" w:eastAsia="Times New Roman" w:hAnsi="Times New Roman" w:cs="Times New Roman"/>
        </w:rPr>
      </w:pPr>
    </w:p>
    <w:p w:rsidR="00A57394" w:rsidRDefault="00A61EE4">
      <w:pPr>
        <w:spacing w:after="0" w:line="240" w:lineRule="auto"/>
        <w:rPr>
          <w:rFonts w:ascii="Times New Roman" w:eastAsia="Times New Roman" w:hAnsi="Times New Roman" w:cs="Times New Roman"/>
        </w:rPr>
      </w:pPr>
      <w:r>
        <w:rPr>
          <w:rFonts w:ascii="Times New Roman" w:eastAsia="Times New Roman" w:hAnsi="Times New Roman" w:cs="Times New Roman"/>
        </w:rPr>
        <w:t>According to the University of Washington’s “Evaluating Teaching in Promotion &amp; Tenure Cases: Guide to Best Practices (2016)” and supported by research by the Report of the Teaching Evaluation</w:t>
      </w:r>
      <w:r>
        <w:rPr>
          <w:rFonts w:ascii="Times New Roman" w:eastAsia="Times New Roman" w:hAnsi="Times New Roman" w:cs="Times New Roman"/>
        </w:rPr>
        <w:t xml:space="preserve"> Campus Fellows, UWT units should rely on all three of the following methods of teaching evaluation: peer evaluation, self-evaluation, and student evaluation of teaching. Furthermore, each unit should:</w:t>
      </w:r>
    </w:p>
    <w:p w:rsidR="00A57394" w:rsidRDefault="00A61EE4">
      <w:pPr>
        <w:numPr>
          <w:ilvl w:val="0"/>
          <w:numId w:val="4"/>
        </w:numPr>
        <w:spacing w:after="0"/>
        <w:contextualSpacing/>
      </w:pPr>
      <w:r>
        <w:rPr>
          <w:rFonts w:ascii="Times New Roman" w:eastAsia="Times New Roman" w:hAnsi="Times New Roman" w:cs="Times New Roman"/>
        </w:rPr>
        <w:t>Define the terms Teaching Excellence, Teaching Effecti</w:t>
      </w:r>
      <w:r>
        <w:rPr>
          <w:rFonts w:ascii="Times New Roman" w:eastAsia="Times New Roman" w:hAnsi="Times New Roman" w:cs="Times New Roman"/>
        </w:rPr>
        <w:t>veness, and Student Success in alignment with the UWT strategic plan.</w:t>
      </w:r>
    </w:p>
    <w:p w:rsidR="00A57394" w:rsidRDefault="00A61EE4">
      <w:pPr>
        <w:numPr>
          <w:ilvl w:val="0"/>
          <w:numId w:val="4"/>
        </w:numPr>
        <w:spacing w:after="0"/>
        <w:contextualSpacing/>
      </w:pPr>
      <w:r>
        <w:rPr>
          <w:rFonts w:ascii="Times New Roman" w:eastAsia="Times New Roman" w:hAnsi="Times New Roman" w:cs="Times New Roman"/>
        </w:rPr>
        <w:t xml:space="preserve">Provide guidelines and transparency about each component of teaching evaluation (peer evaluation, self-evaluation and student evaluation). These guidelines should clearly identify which </w:t>
      </w:r>
      <w:r>
        <w:rPr>
          <w:rFonts w:ascii="Times New Roman" w:eastAsia="Times New Roman" w:hAnsi="Times New Roman" w:cs="Times New Roman"/>
        </w:rPr>
        <w:t>kinds of teaching assessment will be used for which purposes, and how much weight they will be given in merit, contract renewal, and promotion and tenure decisions.</w:t>
      </w:r>
    </w:p>
    <w:p w:rsidR="00A57394" w:rsidRDefault="00A61EE4">
      <w:pPr>
        <w:numPr>
          <w:ilvl w:val="0"/>
          <w:numId w:val="4"/>
        </w:numPr>
        <w:spacing w:after="0"/>
        <w:contextualSpacing/>
      </w:pPr>
      <w:r>
        <w:rPr>
          <w:rFonts w:ascii="Times New Roman" w:eastAsia="Times New Roman" w:hAnsi="Times New Roman" w:cs="Times New Roman"/>
        </w:rPr>
        <w:t>Self-assessment of teaching should take place on an annual basis as part of faculty annual activities reports.</w:t>
      </w:r>
    </w:p>
    <w:p w:rsidR="00A57394" w:rsidRDefault="00A61EE4">
      <w:pPr>
        <w:numPr>
          <w:ilvl w:val="0"/>
          <w:numId w:val="4"/>
        </w:numPr>
        <w:spacing w:after="0"/>
        <w:contextualSpacing/>
      </w:pPr>
      <w:r>
        <w:rPr>
          <w:rFonts w:ascii="Times New Roman" w:eastAsia="Times New Roman" w:hAnsi="Times New Roman" w:cs="Times New Roman"/>
        </w:rPr>
        <w:t>Effective teaching should be supported with resources such as professional development funds, mentoring, workshops, fellowships, staff resources,</w:t>
      </w:r>
      <w:r>
        <w:rPr>
          <w:rFonts w:ascii="Times New Roman" w:eastAsia="Times New Roman" w:hAnsi="Times New Roman" w:cs="Times New Roman"/>
        </w:rPr>
        <w:t xml:space="preserve"> etc.</w:t>
      </w:r>
    </w:p>
    <w:p w:rsidR="00A57394" w:rsidRDefault="00A57394">
      <w:pPr>
        <w:spacing w:after="0"/>
        <w:ind w:left="360"/>
      </w:pPr>
    </w:p>
    <w:p w:rsidR="00A57394" w:rsidRDefault="00A61EE4">
      <w:pPr>
        <w:jc w:val="center"/>
        <w:rPr>
          <w:rFonts w:ascii="Times New Roman" w:eastAsia="Times New Roman" w:hAnsi="Times New Roman" w:cs="Times New Roman"/>
          <w:b/>
          <w:u w:val="single"/>
        </w:rPr>
      </w:pPr>
      <w:r>
        <w:rPr>
          <w:rFonts w:ascii="Times New Roman" w:eastAsia="Times New Roman" w:hAnsi="Times New Roman" w:cs="Times New Roman"/>
          <w:b/>
          <w:u w:val="single"/>
        </w:rPr>
        <w:t>Addendum: Faculty Code Language</w:t>
      </w:r>
    </w:p>
    <w:p w:rsidR="00A57394" w:rsidRDefault="00A61EE4">
      <w:pPr>
        <w:spacing w:after="0" w:line="240" w:lineRule="auto"/>
        <w:rPr>
          <w:rFonts w:ascii="Times New Roman" w:eastAsia="Times New Roman" w:hAnsi="Times New Roman" w:cs="Times New Roman"/>
          <w:b/>
        </w:rPr>
      </w:pPr>
      <w:hyperlink r:id="rId6">
        <w:r>
          <w:rPr>
            <w:rFonts w:ascii="Times New Roman" w:eastAsia="Times New Roman" w:hAnsi="Times New Roman" w:cs="Times New Roman"/>
            <w:b/>
            <w:color w:val="0000FF"/>
            <w:u w:val="single"/>
          </w:rPr>
          <w:t>Section 24-</w:t>
        </w:r>
        <w:proofErr w:type="gramStart"/>
        <w:r>
          <w:rPr>
            <w:rFonts w:ascii="Times New Roman" w:eastAsia="Times New Roman" w:hAnsi="Times New Roman" w:cs="Times New Roman"/>
            <w:b/>
            <w:color w:val="0000FF"/>
            <w:u w:val="single"/>
          </w:rPr>
          <w:t>32  C</w:t>
        </w:r>
        <w:proofErr w:type="gramEnd"/>
      </w:hyperlink>
    </w:p>
    <w:p w:rsidR="00A57394" w:rsidRDefault="00A61EE4">
      <w:pPr>
        <w:spacing w:after="0" w:line="240" w:lineRule="auto"/>
        <w:rPr>
          <w:rFonts w:ascii="Times New Roman" w:eastAsia="Times New Roman" w:hAnsi="Times New Roman" w:cs="Times New Roman"/>
        </w:rPr>
      </w:pPr>
      <w:r>
        <w:rPr>
          <w:rFonts w:ascii="Times New Roman" w:eastAsia="Times New Roman" w:hAnsi="Times New Roman" w:cs="Times New Roman"/>
        </w:rPr>
        <w:t>The scope of faculty teaching is broader than conventional classroom instruction; it comprises a variety of teaching formats and media, including undergraduate and graduate instruction for matriculated students, and special training or continuing education</w:t>
      </w:r>
      <w:r>
        <w:rPr>
          <w:rFonts w:ascii="Times New Roman" w:eastAsia="Times New Roman" w:hAnsi="Times New Roman" w:cs="Times New Roman"/>
        </w:rPr>
        <w:t xml:space="preserve">. The educational function of a university requires faculty who can teach effectively. Instruction must be judged according to its essential purposes and the conditions which they impose. Some elements in assessing effective teaching include: </w:t>
      </w:r>
    </w:p>
    <w:p w:rsidR="00A57394" w:rsidRDefault="00A61EE4">
      <w:pPr>
        <w:numPr>
          <w:ilvl w:val="0"/>
          <w:numId w:val="1"/>
        </w:numPr>
        <w:spacing w:after="0" w:line="240" w:lineRule="auto"/>
        <w:contextualSpacing/>
      </w:pPr>
      <w:r>
        <w:rPr>
          <w:rFonts w:ascii="Times New Roman" w:eastAsia="Times New Roman" w:hAnsi="Times New Roman" w:cs="Times New Roman"/>
        </w:rPr>
        <w:t xml:space="preserve">The ability </w:t>
      </w:r>
      <w:r>
        <w:rPr>
          <w:rFonts w:ascii="Times New Roman" w:eastAsia="Times New Roman" w:hAnsi="Times New Roman" w:cs="Times New Roman"/>
        </w:rPr>
        <w:t>to organize and conduct a course of study appropriate to the level of instruction and the nature of the subject matter;</w:t>
      </w:r>
    </w:p>
    <w:p w:rsidR="00A57394" w:rsidRDefault="00A61EE4">
      <w:pPr>
        <w:numPr>
          <w:ilvl w:val="0"/>
          <w:numId w:val="1"/>
        </w:numPr>
        <w:spacing w:after="0" w:line="240" w:lineRule="auto"/>
        <w:contextualSpacing/>
      </w:pPr>
      <w:r>
        <w:rPr>
          <w:rFonts w:ascii="Times New Roman" w:eastAsia="Times New Roman" w:hAnsi="Times New Roman" w:cs="Times New Roman"/>
        </w:rPr>
        <w:t>The consistency with which the teacher brings to the students the latest research findings and professional debates within the disciplin</w:t>
      </w:r>
      <w:r>
        <w:rPr>
          <w:rFonts w:ascii="Times New Roman" w:eastAsia="Times New Roman" w:hAnsi="Times New Roman" w:cs="Times New Roman"/>
        </w:rPr>
        <w:t>e;</w:t>
      </w:r>
    </w:p>
    <w:p w:rsidR="00A57394" w:rsidRDefault="00A61EE4">
      <w:pPr>
        <w:numPr>
          <w:ilvl w:val="0"/>
          <w:numId w:val="1"/>
        </w:numPr>
        <w:spacing w:after="0" w:line="240" w:lineRule="auto"/>
        <w:contextualSpacing/>
      </w:pPr>
      <w:r>
        <w:rPr>
          <w:rFonts w:ascii="Times New Roman" w:eastAsia="Times New Roman" w:hAnsi="Times New Roman" w:cs="Times New Roman"/>
        </w:rPr>
        <w:t>The ability to stimulate intellectual inquiry so that students develop the skills to examine and evaluate ideas and arguments;</w:t>
      </w:r>
    </w:p>
    <w:p w:rsidR="00A57394" w:rsidRDefault="00A61EE4">
      <w:pPr>
        <w:numPr>
          <w:ilvl w:val="0"/>
          <w:numId w:val="1"/>
        </w:numPr>
        <w:spacing w:after="0" w:line="240" w:lineRule="auto"/>
        <w:contextualSpacing/>
      </w:pPr>
      <w:r>
        <w:rPr>
          <w:rFonts w:ascii="Times New Roman" w:eastAsia="Times New Roman" w:hAnsi="Times New Roman" w:cs="Times New Roman"/>
        </w:rPr>
        <w:t>The extent to which the teacher encourages discussion and debate which enables the students to articulate the ideas they are e</w:t>
      </w:r>
      <w:r>
        <w:rPr>
          <w:rFonts w:ascii="Times New Roman" w:eastAsia="Times New Roman" w:hAnsi="Times New Roman" w:cs="Times New Roman"/>
        </w:rPr>
        <w:t>xploring;</w:t>
      </w:r>
    </w:p>
    <w:p w:rsidR="00A57394" w:rsidRDefault="00A61EE4">
      <w:pPr>
        <w:numPr>
          <w:ilvl w:val="0"/>
          <w:numId w:val="1"/>
        </w:numPr>
        <w:spacing w:after="0" w:line="240" w:lineRule="auto"/>
        <w:contextualSpacing/>
      </w:pPr>
      <w:r>
        <w:rPr>
          <w:rFonts w:ascii="Times New Roman" w:eastAsia="Times New Roman" w:hAnsi="Times New Roman" w:cs="Times New Roman"/>
        </w:rPr>
        <w:t>The degree to which teaching strategies that encourage the educational advancement of students from all backgrounds and life experiences are utilized;</w:t>
      </w:r>
    </w:p>
    <w:p w:rsidR="00A57394" w:rsidRDefault="00A61EE4">
      <w:pPr>
        <w:numPr>
          <w:ilvl w:val="0"/>
          <w:numId w:val="1"/>
        </w:numPr>
        <w:spacing w:after="0" w:line="240" w:lineRule="auto"/>
        <w:contextualSpacing/>
      </w:pPr>
      <w:r>
        <w:rPr>
          <w:rFonts w:ascii="Times New Roman" w:eastAsia="Times New Roman" w:hAnsi="Times New Roman" w:cs="Times New Roman"/>
        </w:rPr>
        <w:t>The availability of the teacher to the student beyond the classroom environment; and</w:t>
      </w:r>
    </w:p>
    <w:p w:rsidR="00A57394" w:rsidRDefault="00A61EE4">
      <w:pPr>
        <w:numPr>
          <w:ilvl w:val="0"/>
          <w:numId w:val="1"/>
        </w:numPr>
        <w:spacing w:after="0" w:line="240" w:lineRule="auto"/>
        <w:contextualSpacing/>
      </w:pPr>
      <w:r>
        <w:rPr>
          <w:rFonts w:ascii="Times New Roman" w:eastAsia="Times New Roman" w:hAnsi="Times New Roman" w:cs="Times New Roman"/>
        </w:rPr>
        <w:t>The regula</w:t>
      </w:r>
      <w:r>
        <w:rPr>
          <w:rFonts w:ascii="Times New Roman" w:eastAsia="Times New Roman" w:hAnsi="Times New Roman" w:cs="Times New Roman"/>
        </w:rPr>
        <w:t xml:space="preserve">rity with which the teacher examines or reexamines the organization and readings for a course of study and explores new approaches to effective educational methods. </w:t>
      </w:r>
    </w:p>
    <w:p w:rsidR="00A57394" w:rsidRDefault="00A61EE4">
      <w:pPr>
        <w:spacing w:after="0" w:line="240" w:lineRule="auto"/>
        <w:rPr>
          <w:rFonts w:ascii="Times New Roman" w:eastAsia="Times New Roman" w:hAnsi="Times New Roman" w:cs="Times New Roman"/>
        </w:rPr>
      </w:pPr>
      <w:r>
        <w:rPr>
          <w:rFonts w:ascii="Times New Roman" w:eastAsia="Times New Roman" w:hAnsi="Times New Roman" w:cs="Times New Roman"/>
        </w:rPr>
        <w:t>A major activity related to teaching is the instructor's participation in academic advisin</w:t>
      </w:r>
      <w:r>
        <w:rPr>
          <w:rFonts w:ascii="Times New Roman" w:eastAsia="Times New Roman" w:hAnsi="Times New Roman" w:cs="Times New Roman"/>
        </w:rPr>
        <w:t xml:space="preserve">g and counseling, whether this takes the form of assisting students to select courses or discussing the students' long- range goals. The assessment of teaching effectiveness shall include student and faculty evaluation. Where possible, measures of student </w:t>
      </w:r>
      <w:r>
        <w:rPr>
          <w:rFonts w:ascii="Times New Roman" w:eastAsia="Times New Roman" w:hAnsi="Times New Roman" w:cs="Times New Roman"/>
        </w:rPr>
        <w:t>achievements in terms of their academic and professional careers, life skills, and citizenship should be considered.</w:t>
      </w:r>
    </w:p>
    <w:p w:rsidR="00A57394" w:rsidRDefault="00A57394">
      <w:pPr>
        <w:spacing w:after="0" w:line="240" w:lineRule="auto"/>
        <w:rPr>
          <w:rFonts w:ascii="Times New Roman" w:eastAsia="Times New Roman" w:hAnsi="Times New Roman" w:cs="Times New Roman"/>
          <w:b/>
        </w:rPr>
      </w:pPr>
    </w:p>
    <w:p w:rsidR="00A57394" w:rsidRDefault="00A57394">
      <w:pPr>
        <w:spacing w:after="0" w:line="240" w:lineRule="auto"/>
        <w:rPr>
          <w:rFonts w:ascii="Times New Roman" w:eastAsia="Times New Roman" w:hAnsi="Times New Roman" w:cs="Times New Roman"/>
          <w:b/>
        </w:rPr>
      </w:pPr>
    </w:p>
    <w:p w:rsidR="00A57394" w:rsidRDefault="00A61EE4">
      <w:pPr>
        <w:spacing w:after="0" w:line="240" w:lineRule="auto"/>
        <w:rPr>
          <w:rFonts w:ascii="Times New Roman" w:eastAsia="Times New Roman" w:hAnsi="Times New Roman" w:cs="Times New Roman"/>
          <w:b/>
        </w:rPr>
      </w:pPr>
      <w:r>
        <w:rPr>
          <w:rFonts w:ascii="Times New Roman" w:eastAsia="Times New Roman" w:hAnsi="Times New Roman" w:cs="Times New Roman"/>
          <w:b/>
        </w:rPr>
        <w:t>Section 24-7 A - Assessment of Teaching Effectiveness</w:t>
      </w:r>
      <w:r>
        <w:rPr>
          <w:rFonts w:ascii="Times New Roman" w:eastAsia="Times New Roman" w:hAnsi="Times New Roman" w:cs="Times New Roman"/>
        </w:rPr>
        <w:br/>
      </w:r>
      <w:r>
        <w:rPr>
          <w:rFonts w:ascii="Times New Roman" w:eastAsia="Times New Roman" w:hAnsi="Times New Roman" w:cs="Times New Roman"/>
        </w:rPr>
        <w:br/>
        <w:t xml:space="preserve">To implement the provision stipulated in </w:t>
      </w:r>
      <w:hyperlink r:id="rId7" w:anchor="2432C">
        <w:r>
          <w:rPr>
            <w:rFonts w:ascii="Times New Roman" w:eastAsia="Times New Roman" w:hAnsi="Times New Roman" w:cs="Times New Roman"/>
            <w:color w:val="0000FF"/>
            <w:u w:val="single"/>
          </w:rPr>
          <w:t>Section 24-32, Subsection C</w:t>
        </w:r>
      </w:hyperlink>
      <w:r>
        <w:rPr>
          <w:rFonts w:ascii="Times New Roman" w:eastAsia="Times New Roman" w:hAnsi="Times New Roman" w:cs="Times New Roman"/>
        </w:rPr>
        <w:t>, the standardized student assessment of teaching procedure which the University makes available may be used for obtaining student evaluation of teaching effectiveness, unless t</w:t>
      </w:r>
      <w:r>
        <w:rPr>
          <w:rFonts w:ascii="Times New Roman" w:eastAsia="Times New Roman" w:hAnsi="Times New Roman" w:cs="Times New Roman"/>
        </w:rPr>
        <w:t>he college, school, or department has adopted an alternate procedure for student evaluation, in which case the latter may be used. Each faculty member shall have at least one course evaluated by students in any academic year during which that member teache</w:t>
      </w:r>
      <w:r>
        <w:rPr>
          <w:rFonts w:ascii="Times New Roman" w:eastAsia="Times New Roman" w:hAnsi="Times New Roman" w:cs="Times New Roman"/>
        </w:rPr>
        <w:t>s one or more courses. The teaching effectiveness of each faculty member also shall be evaluated by colleagues using procedures adopted within the appropriate department, school, or college.</w:t>
      </w:r>
      <w:r>
        <w:rPr>
          <w:rFonts w:ascii="Times New Roman" w:eastAsia="Times New Roman" w:hAnsi="Times New Roman" w:cs="Times New Roman"/>
        </w:rPr>
        <w:br/>
      </w:r>
      <w:r>
        <w:rPr>
          <w:rFonts w:ascii="Times New Roman" w:eastAsia="Times New Roman" w:hAnsi="Times New Roman" w:cs="Times New Roman"/>
        </w:rPr>
        <w:br/>
        <w:t>The collegial evaluation of teaching effectiveness shall be cond</w:t>
      </w:r>
      <w:r>
        <w:rPr>
          <w:rFonts w:ascii="Times New Roman" w:eastAsia="Times New Roman" w:hAnsi="Times New Roman" w:cs="Times New Roman"/>
        </w:rPr>
        <w:t xml:space="preserve">ucted prior to recommending any renewal of appointment or promotion of a faculty member. In addition, for faculty at the rank of assistant professor, or associate professor or professor "without tenure" under </w:t>
      </w:r>
      <w:hyperlink r:id="rId8" w:anchor="2532D">
        <w:r>
          <w:rPr>
            <w:rFonts w:ascii="Times New Roman" w:eastAsia="Times New Roman" w:hAnsi="Times New Roman" w:cs="Times New Roman"/>
            <w:color w:val="0000FF"/>
            <w:u w:val="single"/>
          </w:rPr>
          <w:t>Chapter 25, Section 25-32, Subsection D</w:t>
        </w:r>
      </w:hyperlink>
      <w:r>
        <w:rPr>
          <w:rFonts w:ascii="Times New Roman" w:eastAsia="Times New Roman" w:hAnsi="Times New Roman" w:cs="Times New Roman"/>
        </w:rPr>
        <w:t xml:space="preserve">, or with the instructional title of lecturer the collegial evaluation shall be conducted every year. For other faculty at the rank of associate professor or professor or </w:t>
      </w:r>
      <w:r>
        <w:rPr>
          <w:rFonts w:ascii="Times New Roman" w:eastAsia="Times New Roman" w:hAnsi="Times New Roman" w:cs="Times New Roman"/>
        </w:rPr>
        <w:t>with the title of senior lecturer, principal lecturer, or professor of practice the collegial evaluation shall be conducted at least every three years. A written report of this evaluation shall be maintained and shared with the faculty member.</w:t>
      </w:r>
    </w:p>
    <w:p w:rsidR="00A57394" w:rsidRDefault="00A57394">
      <w:pPr>
        <w:rPr>
          <w:rFonts w:ascii="Times New Roman" w:eastAsia="Times New Roman" w:hAnsi="Times New Roman" w:cs="Times New Roman"/>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57394">
      <w:pPr>
        <w:jc w:val="center"/>
        <w:rPr>
          <w:rFonts w:ascii="Cambria" w:eastAsia="Cambria" w:hAnsi="Cambria" w:cs="Cambria"/>
          <w:b/>
          <w:u w:val="single"/>
        </w:rPr>
      </w:pPr>
    </w:p>
    <w:p w:rsidR="00A57394" w:rsidRDefault="00A61EE4">
      <w:pPr>
        <w:rPr>
          <w:rFonts w:ascii="Times New Roman" w:eastAsia="Times New Roman" w:hAnsi="Times New Roman" w:cs="Times New Roman"/>
          <w:b/>
          <w:u w:val="single"/>
        </w:rPr>
      </w:pPr>
      <w:bookmarkStart w:id="1" w:name="_gjdgxs" w:colFirst="0" w:colLast="0"/>
      <w:bookmarkEnd w:id="1"/>
      <w:r>
        <w:rPr>
          <w:rFonts w:ascii="Times New Roman" w:eastAsia="Times New Roman" w:hAnsi="Times New Roman" w:cs="Times New Roman"/>
          <w:b/>
          <w:u w:val="single"/>
        </w:rPr>
        <w:t>APPENDIX B</w:t>
      </w:r>
    </w:p>
    <w:p w:rsidR="00A57394" w:rsidRDefault="00A57394">
      <w:pPr>
        <w:jc w:val="center"/>
        <w:rPr>
          <w:rFonts w:ascii="Cambria" w:eastAsia="Cambria" w:hAnsi="Cambria" w:cs="Cambria"/>
          <w:b/>
          <w:u w:val="single"/>
        </w:rPr>
      </w:pPr>
    </w:p>
    <w:p w:rsidR="00A57394" w:rsidRDefault="00A61EE4">
      <w:pPr>
        <w:jc w:val="center"/>
        <w:rPr>
          <w:rFonts w:ascii="Cambria" w:eastAsia="Cambria" w:hAnsi="Cambria" w:cs="Cambria"/>
          <w:b/>
          <w:u w:val="single"/>
        </w:rPr>
      </w:pPr>
      <w:r>
        <w:rPr>
          <w:rFonts w:ascii="Cambria" w:eastAsia="Cambria" w:hAnsi="Cambria" w:cs="Cambria"/>
          <w:b/>
          <w:u w:val="single"/>
        </w:rPr>
        <w:t>Proposed changes to the Diversity Designation Review Process</w:t>
      </w:r>
    </w:p>
    <w:p w:rsidR="00A57394" w:rsidRDefault="00A61EE4">
      <w:pPr>
        <w:jc w:val="center"/>
        <w:rPr>
          <w:rFonts w:ascii="Cambria" w:eastAsia="Cambria" w:hAnsi="Cambria" w:cs="Cambria"/>
          <w:i/>
        </w:rPr>
      </w:pPr>
      <w:r>
        <w:rPr>
          <w:rFonts w:ascii="Cambria" w:eastAsia="Cambria" w:hAnsi="Cambria" w:cs="Cambria"/>
          <w:i/>
        </w:rPr>
        <w:t>Approved by APCC on 2/14/18</w:t>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rPr>
          <w:rFonts w:ascii="Cambria" w:eastAsia="Cambria" w:hAnsi="Cambria" w:cs="Cambria"/>
        </w:rPr>
      </w:pPr>
      <w:r>
        <w:rPr>
          <w:rFonts w:ascii="Cambria" w:eastAsia="Cambria" w:hAnsi="Cambria" w:cs="Cambria"/>
        </w:rPr>
        <w:t xml:space="preserve">The original diversity designation policy approved by Executive Committee on 6/3/2015 will be amended to add the review process recommendations of the Academic Policy Curriculum Committee’s (APCC) Diversity Designation Review Committee 2016-17. </w:t>
      </w:r>
      <w:r>
        <w:rPr>
          <w:rFonts w:ascii="Cambria" w:eastAsia="Cambria" w:hAnsi="Cambria" w:cs="Cambria"/>
          <w:highlight w:val="yellow"/>
        </w:rPr>
        <w:t>Changes are</w:t>
      </w:r>
      <w:r>
        <w:rPr>
          <w:rFonts w:ascii="Cambria" w:eastAsia="Cambria" w:hAnsi="Cambria" w:cs="Cambria"/>
          <w:highlight w:val="yellow"/>
        </w:rPr>
        <w:t xml:space="preserve"> highlighted below.</w:t>
      </w:r>
    </w:p>
    <w:p w:rsidR="00A57394" w:rsidRDefault="00A61EE4">
      <w:pPr>
        <w:rPr>
          <w:rFonts w:ascii="Cambria" w:eastAsia="Cambria" w:hAnsi="Cambria" w:cs="Cambria"/>
        </w:rPr>
      </w:pPr>
      <w:r>
        <w:rPr>
          <w:rFonts w:ascii="Cambria" w:eastAsia="Cambria" w:hAnsi="Cambria" w:cs="Cambria"/>
          <w:b/>
          <w:i/>
        </w:rPr>
        <w:t xml:space="preserve">APCC recommendations: </w:t>
      </w:r>
      <w:r>
        <w:rPr>
          <w:rFonts w:ascii="Cambria" w:eastAsia="Cambria" w:hAnsi="Cambria" w:cs="Cambria"/>
        </w:rPr>
        <w:t xml:space="preserve">(from APCC Minutes June 7, 2017 </w:t>
      </w:r>
      <w:r>
        <w:rPr>
          <w:rFonts w:ascii="Cambria" w:eastAsia="Cambria" w:hAnsi="Cambria" w:cs="Cambria"/>
          <w:i/>
        </w:rPr>
        <w:t>and the Diversity Designation Review Committee Report, 5/25/17</w:t>
      </w:r>
      <w:r>
        <w:rPr>
          <w:rFonts w:ascii="Cambria" w:eastAsia="Cambria" w:hAnsi="Cambria" w:cs="Cambria"/>
        </w:rPr>
        <w:t>).</w:t>
      </w:r>
    </w:p>
    <w:p w:rsidR="00A57394" w:rsidRDefault="00A61EE4">
      <w:pPr>
        <w:rPr>
          <w:rFonts w:ascii="Times New Roman" w:eastAsia="Times New Roman" w:hAnsi="Times New Roman" w:cs="Times New Roman"/>
        </w:rPr>
      </w:pPr>
      <w:r>
        <w:rPr>
          <w:rFonts w:ascii="Times New Roman" w:eastAsia="Times New Roman" w:hAnsi="Times New Roman" w:cs="Times New Roman"/>
        </w:rPr>
        <w:t>1.  Members suggested that future review committees contact faculty who have recently taught the course to ask them t</w:t>
      </w:r>
      <w:r>
        <w:rPr>
          <w:rFonts w:ascii="Times New Roman" w:eastAsia="Times New Roman" w:hAnsi="Times New Roman" w:cs="Times New Roman"/>
        </w:rPr>
        <w:t>o describe how the learning objectives are put into practice and what explicit concepts are covered.</w:t>
      </w:r>
    </w:p>
    <w:p w:rsidR="00A57394" w:rsidRDefault="00A61EE4">
      <w:pPr>
        <w:rPr>
          <w:rFonts w:ascii="Times New Roman" w:eastAsia="Times New Roman" w:hAnsi="Times New Roman" w:cs="Times New Roman"/>
        </w:rPr>
      </w:pPr>
      <w:r>
        <w:rPr>
          <w:rFonts w:ascii="Times New Roman" w:eastAsia="Times New Roman" w:hAnsi="Times New Roman" w:cs="Times New Roman"/>
        </w:rPr>
        <w:t>2.  Members suggested that future APCC Diversity Designation reviews consider addressing gaps identified in tables 2 and 3, most notably the relatively few</w:t>
      </w:r>
      <w:r>
        <w:rPr>
          <w:rFonts w:ascii="Times New Roman" w:eastAsia="Times New Roman" w:hAnsi="Times New Roman" w:cs="Times New Roman"/>
        </w:rPr>
        <w:t xml:space="preserve"> courses that address age, disability, or indigenous identities.</w:t>
      </w:r>
    </w:p>
    <w:p w:rsidR="00A57394" w:rsidRDefault="00A61EE4">
      <w:pPr>
        <w:rPr>
          <w:rFonts w:ascii="Times New Roman" w:eastAsia="Times New Roman" w:hAnsi="Times New Roman" w:cs="Times New Roman"/>
        </w:rPr>
      </w:pPr>
      <w:r>
        <w:rPr>
          <w:rFonts w:ascii="Times New Roman" w:eastAsia="Times New Roman" w:hAnsi="Times New Roman" w:cs="Times New Roman"/>
        </w:rPr>
        <w:t>3.  Members noted the variations in approaches to diversity in the courses and recommended that a future review committee could consider how well students are able to access diversity courses</w:t>
      </w:r>
      <w:r>
        <w:rPr>
          <w:rFonts w:ascii="Times New Roman" w:eastAsia="Times New Roman" w:hAnsi="Times New Roman" w:cs="Times New Roman"/>
        </w:rPr>
        <w:t xml:space="preserve"> that would provide them this variety.</w:t>
      </w:r>
    </w:p>
    <w:p w:rsidR="00A57394" w:rsidRDefault="00A61EE4">
      <w:pPr>
        <w:rPr>
          <w:rFonts w:ascii="Times New Roman" w:eastAsia="Times New Roman" w:hAnsi="Times New Roman" w:cs="Times New Roman"/>
        </w:rPr>
      </w:pPr>
      <w:r>
        <w:rPr>
          <w:rFonts w:ascii="Times New Roman" w:eastAsia="Times New Roman" w:hAnsi="Times New Roman" w:cs="Times New Roman"/>
        </w:rPr>
        <w:t>4.  Members recommended that the review only include courses taught in the last year</w:t>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jc w:val="center"/>
        <w:rPr>
          <w:rFonts w:ascii="Cambria" w:eastAsia="Cambria" w:hAnsi="Cambria" w:cs="Cambria"/>
        </w:rPr>
      </w:pPr>
      <w:r>
        <w:rPr>
          <w:rFonts w:ascii="Cambria" w:eastAsia="Cambria" w:hAnsi="Cambria" w:cs="Cambria"/>
          <w:b/>
          <w:i/>
        </w:rPr>
        <w:t>UW Tacoma Diversity Designation Policy (</w:t>
      </w:r>
      <w:r>
        <w:rPr>
          <w:rFonts w:ascii="Cambria" w:eastAsia="Cambria" w:hAnsi="Cambria" w:cs="Cambria"/>
          <w:b/>
          <w:i/>
          <w:highlight w:val="yellow"/>
        </w:rPr>
        <w:t>changes highlighted</w:t>
      </w:r>
      <w:r>
        <w:rPr>
          <w:rFonts w:ascii="Cambria" w:eastAsia="Cambria" w:hAnsi="Cambria" w:cs="Cambria"/>
          <w:b/>
          <w:i/>
        </w:rPr>
        <w:t>)</w:t>
      </w:r>
    </w:p>
    <w:p w:rsidR="00A57394" w:rsidRDefault="00A61EE4">
      <w:pPr>
        <w:rPr>
          <w:rFonts w:ascii="Cambria" w:eastAsia="Cambria" w:hAnsi="Cambria" w:cs="Cambria"/>
          <w:b/>
          <w:i/>
        </w:rPr>
      </w:pPr>
      <w:r>
        <w:rPr>
          <w:rFonts w:ascii="Cambria" w:eastAsia="Cambria" w:hAnsi="Cambria" w:cs="Cambria"/>
          <w:b/>
          <w:i/>
        </w:rPr>
        <w:t>Processes to ensure ongoing quality of Diversity Courses:</w:t>
      </w:r>
    </w:p>
    <w:p w:rsidR="00A57394" w:rsidRDefault="00A61EE4">
      <w:pPr>
        <w:rPr>
          <w:rFonts w:ascii="Cambria" w:eastAsia="Cambria" w:hAnsi="Cambria" w:cs="Cambria"/>
        </w:rPr>
      </w:pPr>
      <w:proofErr w:type="gramStart"/>
      <w:r>
        <w:rPr>
          <w:rFonts w:ascii="Cambria" w:eastAsia="Cambria" w:hAnsi="Cambria" w:cs="Cambria"/>
        </w:rPr>
        <w:t>i.  Academi</w:t>
      </w:r>
      <w:r>
        <w:rPr>
          <w:rFonts w:ascii="Cambria" w:eastAsia="Cambria" w:hAnsi="Cambria" w:cs="Cambria"/>
        </w:rPr>
        <w:t>c</w:t>
      </w:r>
      <w:proofErr w:type="gramEnd"/>
      <w:r>
        <w:rPr>
          <w:rFonts w:ascii="Cambria" w:eastAsia="Cambria" w:hAnsi="Cambria" w:cs="Cambria"/>
        </w:rPr>
        <w:t xml:space="preserve"> units are expected to assess continuity of Student Learning Objectives (SLO) and course descriptions on an ongoing basis.</w:t>
      </w:r>
    </w:p>
    <w:p w:rsidR="00A57394" w:rsidRDefault="00A61EE4">
      <w:pPr>
        <w:rPr>
          <w:rFonts w:ascii="Cambria" w:eastAsia="Cambria" w:hAnsi="Cambria" w:cs="Cambria"/>
          <w:highlight w:val="yellow"/>
        </w:rPr>
      </w:pPr>
      <w:r>
        <w:rPr>
          <w:rFonts w:ascii="Cambria" w:eastAsia="Cambria" w:hAnsi="Cambria" w:cs="Cambria"/>
          <w:highlight w:val="yellow"/>
        </w:rPr>
        <w:t>ii</w:t>
      </w:r>
      <w:proofErr w:type="gramStart"/>
      <w:r>
        <w:rPr>
          <w:rFonts w:ascii="Cambria" w:eastAsia="Cambria" w:hAnsi="Cambria" w:cs="Cambria"/>
          <w:highlight w:val="yellow"/>
        </w:rPr>
        <w:t xml:space="preserve">.  </w:t>
      </w:r>
      <w:r>
        <w:rPr>
          <w:rFonts w:ascii="Cambria" w:eastAsia="Cambria" w:hAnsi="Cambria" w:cs="Cambria"/>
        </w:rPr>
        <w:t>All</w:t>
      </w:r>
      <w:proofErr w:type="gramEnd"/>
      <w:r>
        <w:rPr>
          <w:rFonts w:ascii="Cambria" w:eastAsia="Cambria" w:hAnsi="Cambria" w:cs="Cambria"/>
        </w:rPr>
        <w:t xml:space="preserve"> D designated courses have </w:t>
      </w:r>
      <w:r>
        <w:rPr>
          <w:rFonts w:ascii="Cambria" w:eastAsia="Cambria" w:hAnsi="Cambria" w:cs="Cambria"/>
          <w:highlight w:val="yellow"/>
        </w:rPr>
        <w:t>at least one</w:t>
      </w:r>
      <w:r>
        <w:rPr>
          <w:rFonts w:ascii="Cambria" w:eastAsia="Cambria" w:hAnsi="Cambria" w:cs="Cambria"/>
        </w:rPr>
        <w:t xml:space="preserve"> diversity related question </w:t>
      </w:r>
      <w:r>
        <w:rPr>
          <w:rFonts w:ascii="Cambria" w:eastAsia="Cambria" w:hAnsi="Cambria" w:cs="Cambria"/>
          <w:highlight w:val="yellow"/>
        </w:rPr>
        <w:t>in course assessments and/or their</w:t>
      </w:r>
      <w:r>
        <w:rPr>
          <w:rFonts w:ascii="Cambria" w:eastAsia="Cambria" w:hAnsi="Cambria" w:cs="Cambria"/>
        </w:rPr>
        <w:t xml:space="preserve"> course evaluations </w:t>
      </w:r>
      <w:r>
        <w:rPr>
          <w:rFonts w:ascii="Cambria" w:eastAsia="Cambria" w:hAnsi="Cambria" w:cs="Cambria"/>
          <w:highlight w:val="yellow"/>
        </w:rPr>
        <w:t>(</w:t>
      </w:r>
      <w:hyperlink r:id="rId9">
        <w:r>
          <w:rPr>
            <w:rFonts w:ascii="Cambria" w:eastAsia="Cambria" w:hAnsi="Cambria" w:cs="Cambria"/>
            <w:color w:val="1155CC"/>
            <w:highlight w:val="yellow"/>
            <w:u w:val="single"/>
          </w:rPr>
          <w:t>http://iasystem.org/help-main/faculty-user-guide/add-questions-to-an-evaluation/</w:t>
        </w:r>
      </w:hyperlink>
      <w:r>
        <w:rPr>
          <w:rFonts w:ascii="Cambria" w:eastAsia="Cambria" w:hAnsi="Cambria" w:cs="Cambria"/>
          <w:highlight w:val="yellow"/>
        </w:rPr>
        <w:t xml:space="preserve">) assessing students’ </w:t>
      </w:r>
      <w:proofErr w:type="spellStart"/>
      <w:r>
        <w:rPr>
          <w:rFonts w:ascii="Cambria" w:eastAsia="Cambria" w:hAnsi="Cambria" w:cs="Cambria"/>
          <w:highlight w:val="yellow"/>
        </w:rPr>
        <w:t>self perception</w:t>
      </w:r>
      <w:proofErr w:type="spellEnd"/>
      <w:r>
        <w:rPr>
          <w:rFonts w:ascii="Cambria" w:eastAsia="Cambria" w:hAnsi="Cambria" w:cs="Cambria"/>
          <w:highlight w:val="yellow"/>
        </w:rPr>
        <w:t xml:space="preserve"> of learning about diversity. Faculty may</w:t>
      </w:r>
      <w:r>
        <w:rPr>
          <w:rFonts w:ascii="Cambria" w:eastAsia="Cambria" w:hAnsi="Cambria" w:cs="Cambria"/>
          <w:highlight w:val="yellow"/>
        </w:rPr>
        <w:t xml:space="preserve"> use questions that measure outcomes related to specific disciplinary epistemologies and pedagogies. Additionally, here are some sample questions that correlate with the existing criteria for the diversity designation:</w:t>
      </w:r>
    </w:p>
    <w:p w:rsidR="00A57394" w:rsidRDefault="00A61EE4">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i.      How is the</w:t>
      </w:r>
      <w:r>
        <w:rPr>
          <w:rFonts w:ascii="Cambria" w:eastAsia="Cambria" w:hAnsi="Cambria" w:cs="Cambria"/>
          <w:color w:val="1C4587"/>
          <w:highlight w:val="yellow"/>
        </w:rPr>
        <w:t xml:space="preserve"> value of diversity related to socially constructed group identities?</w:t>
      </w:r>
    </w:p>
    <w:p w:rsidR="00A57394" w:rsidRDefault="00A61EE4">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 xml:space="preserve">  ii.    Did this course change your outlook on the meaning of diversity? If so, explain how.</w:t>
      </w:r>
    </w:p>
    <w:p w:rsidR="00A57394" w:rsidRDefault="00A61EE4">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 xml:space="preserve">  iii. How does what you learned about diversity addres</w:t>
      </w:r>
      <w:r>
        <w:rPr>
          <w:rFonts w:ascii="Cambria" w:eastAsia="Cambria" w:hAnsi="Cambria" w:cs="Cambria"/>
          <w:color w:val="1C4587"/>
          <w:highlight w:val="yellow"/>
        </w:rPr>
        <w:t>s concepts of power, privilege, marginality and activism?</w:t>
      </w:r>
    </w:p>
    <w:p w:rsidR="00A57394" w:rsidRDefault="00A61EE4">
      <w:pPr>
        <w:rPr>
          <w:rFonts w:ascii="Cambria" w:eastAsia="Cambria" w:hAnsi="Cambria" w:cs="Cambria"/>
          <w:color w:val="1C4587"/>
          <w:highlight w:val="yellow"/>
        </w:rPr>
      </w:pPr>
      <w:r>
        <w:rPr>
          <w:rFonts w:ascii="Cambria" w:eastAsia="Cambria" w:hAnsi="Cambria" w:cs="Cambria"/>
          <w:color w:val="1C4587"/>
        </w:rPr>
        <w:t xml:space="preserve">                     </w:t>
      </w:r>
      <w:r>
        <w:rPr>
          <w:rFonts w:ascii="Cambria" w:eastAsia="Cambria" w:hAnsi="Cambria" w:cs="Cambria"/>
          <w:color w:val="1C4587"/>
          <w:highlight w:val="yellow"/>
        </w:rPr>
        <w:t xml:space="preserve"> iv</w:t>
      </w:r>
      <w:proofErr w:type="gramStart"/>
      <w:r>
        <w:rPr>
          <w:rFonts w:ascii="Cambria" w:eastAsia="Cambria" w:hAnsi="Cambria" w:cs="Cambria"/>
          <w:color w:val="1C4587"/>
          <w:highlight w:val="yellow"/>
        </w:rPr>
        <w:t>.  Will</w:t>
      </w:r>
      <w:proofErr w:type="gramEnd"/>
      <w:r>
        <w:rPr>
          <w:rFonts w:ascii="Cambria" w:eastAsia="Cambria" w:hAnsi="Cambria" w:cs="Cambria"/>
          <w:color w:val="1C4587"/>
          <w:highlight w:val="yellow"/>
        </w:rPr>
        <w:t xml:space="preserve"> you incorporate what you learned about diversity into your everyday life? If so, explain how.</w:t>
      </w:r>
    </w:p>
    <w:p w:rsidR="00A57394" w:rsidRDefault="00A61EE4">
      <w:pPr>
        <w:rPr>
          <w:rFonts w:ascii="Cambria" w:eastAsia="Cambria" w:hAnsi="Cambria" w:cs="Cambria"/>
          <w:highlight w:val="yellow"/>
        </w:rPr>
      </w:pPr>
      <w:r>
        <w:rPr>
          <w:rFonts w:ascii="Cambria" w:eastAsia="Cambria" w:hAnsi="Cambria" w:cs="Cambria"/>
        </w:rPr>
        <w:t>iii</w:t>
      </w:r>
      <w:proofErr w:type="gramStart"/>
      <w:r>
        <w:rPr>
          <w:rFonts w:ascii="Cambria" w:eastAsia="Cambria" w:hAnsi="Cambria" w:cs="Cambria"/>
        </w:rPr>
        <w:t>.  Every</w:t>
      </w:r>
      <w:proofErr w:type="gramEnd"/>
      <w:r>
        <w:rPr>
          <w:rFonts w:ascii="Cambria" w:eastAsia="Cambria" w:hAnsi="Cambria" w:cs="Cambria"/>
        </w:rPr>
        <w:t xml:space="preserve"> three years, APCC will select a random sample of twelve D courses to review </w:t>
      </w:r>
      <w:r>
        <w:rPr>
          <w:rFonts w:ascii="Cambria" w:eastAsia="Cambria" w:hAnsi="Cambria" w:cs="Cambria"/>
          <w:highlight w:val="yellow"/>
        </w:rPr>
        <w:t xml:space="preserve">that were taught in the last year.  </w:t>
      </w:r>
    </w:p>
    <w:p w:rsidR="00A57394" w:rsidRDefault="00A61EE4">
      <w:pPr>
        <w:rPr>
          <w:rFonts w:ascii="Cambria" w:eastAsia="Cambria" w:hAnsi="Cambria" w:cs="Cambria"/>
          <w:highlight w:val="yellow"/>
        </w:rPr>
      </w:pPr>
      <w:r>
        <w:rPr>
          <w:rFonts w:ascii="Cambria" w:eastAsia="Cambria" w:hAnsi="Cambria" w:cs="Cambria"/>
          <w:highlight w:val="yellow"/>
        </w:rPr>
        <w:t xml:space="preserve">a.   </w:t>
      </w:r>
      <w:r>
        <w:rPr>
          <w:rFonts w:ascii="Cambria" w:eastAsia="Cambria" w:hAnsi="Cambria" w:cs="Cambria"/>
          <w:highlight w:val="yellow"/>
        </w:rPr>
        <w:tab/>
        <w:t>Programs will be asked to:</w:t>
      </w:r>
    </w:p>
    <w:p w:rsidR="00A57394" w:rsidRDefault="00A61EE4">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w:t>
      </w:r>
      <w:proofErr w:type="gramStart"/>
      <w:r>
        <w:rPr>
          <w:rFonts w:ascii="Cambria" w:eastAsia="Cambria" w:hAnsi="Cambria" w:cs="Cambria"/>
          <w:highlight w:val="yellow"/>
        </w:rPr>
        <w:t>i</w:t>
      </w:r>
      <w:proofErr w:type="gramEnd"/>
      <w:r>
        <w:rPr>
          <w:rFonts w:ascii="Cambria" w:eastAsia="Cambria" w:hAnsi="Cambria" w:cs="Cambria"/>
          <w:highlight w:val="yellow"/>
        </w:rPr>
        <w:t>.      submit the most recent syllabus</w:t>
      </w:r>
    </w:p>
    <w:p w:rsidR="00A57394" w:rsidRDefault="00A61EE4">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ii.      </w:t>
      </w:r>
      <w:proofErr w:type="gramStart"/>
      <w:r>
        <w:rPr>
          <w:rFonts w:ascii="Cambria" w:eastAsia="Cambria" w:hAnsi="Cambria" w:cs="Cambria"/>
          <w:highlight w:val="yellow"/>
        </w:rPr>
        <w:t>submit</w:t>
      </w:r>
      <w:proofErr w:type="gramEnd"/>
      <w:r>
        <w:rPr>
          <w:rFonts w:ascii="Cambria" w:eastAsia="Cambria" w:hAnsi="Cambria" w:cs="Cambria"/>
          <w:highlight w:val="yellow"/>
        </w:rPr>
        <w:t xml:space="preserve"> t</w:t>
      </w:r>
      <w:r>
        <w:rPr>
          <w:rFonts w:ascii="Cambria" w:eastAsia="Cambria" w:hAnsi="Cambria" w:cs="Cambria"/>
          <w:highlight w:val="yellow"/>
        </w:rPr>
        <w:t>he diversity related question responses portion of the course assessments and/or the course evaluations, and</w:t>
      </w:r>
    </w:p>
    <w:p w:rsidR="00A57394" w:rsidRDefault="00A61EE4">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iii.      </w:t>
      </w:r>
      <w:proofErr w:type="gramStart"/>
      <w:r>
        <w:rPr>
          <w:rFonts w:ascii="Cambria" w:eastAsia="Cambria" w:hAnsi="Cambria" w:cs="Cambria"/>
          <w:highlight w:val="yellow"/>
        </w:rPr>
        <w:t>the</w:t>
      </w:r>
      <w:proofErr w:type="gramEnd"/>
      <w:r>
        <w:rPr>
          <w:rFonts w:ascii="Cambria" w:eastAsia="Cambria" w:hAnsi="Cambria" w:cs="Cambria"/>
          <w:highlight w:val="yellow"/>
        </w:rPr>
        <w:t xml:space="preserve"> contact information of the faculty that taught this course most recently.</w:t>
      </w:r>
    </w:p>
    <w:p w:rsidR="00A57394" w:rsidRDefault="00A61EE4">
      <w:pPr>
        <w:rPr>
          <w:rFonts w:ascii="Cambria" w:eastAsia="Cambria" w:hAnsi="Cambria" w:cs="Cambria"/>
          <w:highlight w:val="yellow"/>
        </w:rPr>
      </w:pPr>
      <w:r>
        <w:rPr>
          <w:rFonts w:ascii="Cambria" w:eastAsia="Cambria" w:hAnsi="Cambria" w:cs="Cambria"/>
          <w:highlight w:val="yellow"/>
        </w:rPr>
        <w:t xml:space="preserve">b.  </w:t>
      </w:r>
      <w:r>
        <w:rPr>
          <w:rFonts w:ascii="Cambria" w:eastAsia="Cambria" w:hAnsi="Cambria" w:cs="Cambria"/>
          <w:highlight w:val="yellow"/>
        </w:rPr>
        <w:tab/>
        <w:t xml:space="preserve">The faculty member who taught the </w:t>
      </w:r>
      <w:r>
        <w:rPr>
          <w:rFonts w:ascii="Cambria" w:eastAsia="Cambria" w:hAnsi="Cambria" w:cs="Cambria"/>
          <w:highlight w:val="yellow"/>
        </w:rPr>
        <w:t xml:space="preserve">class most recently will be asked by the APCC </w:t>
      </w:r>
      <w:r>
        <w:rPr>
          <w:rFonts w:ascii="Times New Roman" w:eastAsia="Times New Roman" w:hAnsi="Times New Roman" w:cs="Times New Roman"/>
          <w:highlight w:val="yellow"/>
        </w:rPr>
        <w:t xml:space="preserve">to </w:t>
      </w:r>
      <w:r>
        <w:rPr>
          <w:rFonts w:ascii="Cambria" w:eastAsia="Cambria" w:hAnsi="Cambria" w:cs="Cambria"/>
          <w:highlight w:val="yellow"/>
        </w:rPr>
        <w:t>describe how</w:t>
      </w:r>
    </w:p>
    <w:p w:rsidR="00A57394" w:rsidRDefault="00A61EE4">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w:t>
      </w:r>
      <w:proofErr w:type="gramStart"/>
      <w:r>
        <w:rPr>
          <w:rFonts w:ascii="Cambria" w:eastAsia="Cambria" w:hAnsi="Cambria" w:cs="Cambria"/>
          <w:highlight w:val="yellow"/>
        </w:rPr>
        <w:t>i</w:t>
      </w:r>
      <w:proofErr w:type="gramEnd"/>
      <w:r>
        <w:rPr>
          <w:rFonts w:ascii="Cambria" w:eastAsia="Cambria" w:hAnsi="Cambria" w:cs="Cambria"/>
          <w:highlight w:val="yellow"/>
        </w:rPr>
        <w:t>.      the diversity-related learning objectives were put into practice, and</w:t>
      </w:r>
    </w:p>
    <w:p w:rsidR="00A57394" w:rsidRDefault="00A61EE4">
      <w:pPr>
        <w:rPr>
          <w:rFonts w:ascii="Cambria" w:eastAsia="Cambria" w:hAnsi="Cambria" w:cs="Cambria"/>
          <w:highlight w:val="yellow"/>
        </w:rPr>
      </w:pPr>
      <w:r>
        <w:rPr>
          <w:rFonts w:ascii="Cambria" w:eastAsia="Cambria" w:hAnsi="Cambria" w:cs="Cambria"/>
        </w:rPr>
        <w:t xml:space="preserve">                 </w:t>
      </w:r>
      <w:r>
        <w:rPr>
          <w:rFonts w:ascii="Cambria" w:eastAsia="Cambria" w:hAnsi="Cambria" w:cs="Cambria"/>
          <w:highlight w:val="yellow"/>
        </w:rPr>
        <w:t xml:space="preserve"> ii.      </w:t>
      </w:r>
      <w:proofErr w:type="gramStart"/>
      <w:r>
        <w:rPr>
          <w:rFonts w:ascii="Cambria" w:eastAsia="Cambria" w:hAnsi="Cambria" w:cs="Cambria"/>
          <w:highlight w:val="yellow"/>
        </w:rPr>
        <w:t>what</w:t>
      </w:r>
      <w:proofErr w:type="gramEnd"/>
      <w:r>
        <w:rPr>
          <w:rFonts w:ascii="Cambria" w:eastAsia="Cambria" w:hAnsi="Cambria" w:cs="Cambria"/>
          <w:highlight w:val="yellow"/>
        </w:rPr>
        <w:t xml:space="preserve"> explicit concepts were covered.</w:t>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rPr>
          <w:rFonts w:ascii="Cambria" w:eastAsia="Cambria" w:hAnsi="Cambria" w:cs="Cambria"/>
          <w:b/>
          <w:i/>
        </w:rPr>
      </w:pPr>
      <w:r>
        <w:rPr>
          <w:rFonts w:ascii="Cambria" w:eastAsia="Cambria" w:hAnsi="Cambria" w:cs="Cambria"/>
          <w:b/>
          <w:i/>
        </w:rPr>
        <w:t>Criteria for the Diversity Designation*</w:t>
      </w:r>
    </w:p>
    <w:p w:rsidR="00A57394" w:rsidRDefault="00A61EE4">
      <w:pPr>
        <w:rPr>
          <w:rFonts w:ascii="Cambria" w:eastAsia="Cambria" w:hAnsi="Cambria" w:cs="Cambria"/>
        </w:rPr>
      </w:pPr>
      <w:r>
        <w:rPr>
          <w:rFonts w:ascii="Cambria" w:eastAsia="Cambria" w:hAnsi="Cambria" w:cs="Cambria"/>
        </w:rPr>
        <w:t>To have the D (Diversity Designation) courses must</w:t>
      </w:r>
    </w:p>
    <w:p w:rsidR="00A57394" w:rsidRDefault="00A61EE4">
      <w:pPr>
        <w:rPr>
          <w:rFonts w:ascii="Cambria" w:eastAsia="Cambria" w:hAnsi="Cambria" w:cs="Cambria"/>
        </w:rPr>
      </w:pPr>
      <w:r>
        <w:rPr>
          <w:rFonts w:ascii="Cambria" w:eastAsia="Cambria" w:hAnsi="Cambria" w:cs="Cambria"/>
        </w:rPr>
        <w:t xml:space="preserve">1.      </w:t>
      </w:r>
      <w:proofErr w:type="gramStart"/>
      <w:r>
        <w:rPr>
          <w:rFonts w:ascii="Cambria" w:eastAsia="Cambria" w:hAnsi="Cambria" w:cs="Cambria"/>
        </w:rPr>
        <w:t>have</w:t>
      </w:r>
      <w:proofErr w:type="gramEnd"/>
      <w:r>
        <w:rPr>
          <w:rFonts w:ascii="Cambria" w:eastAsia="Cambria" w:hAnsi="Cambria" w:cs="Cambria"/>
        </w:rPr>
        <w:t xml:space="preserve"> at least 60% content focused on diversity,</w:t>
      </w:r>
    </w:p>
    <w:p w:rsidR="00A57394" w:rsidRDefault="00A61EE4">
      <w:pPr>
        <w:rPr>
          <w:rFonts w:ascii="Cambria" w:eastAsia="Cambria" w:hAnsi="Cambria" w:cs="Cambria"/>
        </w:rPr>
      </w:pPr>
      <w:r>
        <w:rPr>
          <w:rFonts w:ascii="Cambria" w:eastAsia="Cambria" w:hAnsi="Cambria" w:cs="Cambria"/>
        </w:rPr>
        <w:t xml:space="preserve">2.      </w:t>
      </w:r>
      <w:proofErr w:type="gramStart"/>
      <w:r>
        <w:rPr>
          <w:rFonts w:ascii="Cambria" w:eastAsia="Cambria" w:hAnsi="Cambria" w:cs="Cambria"/>
        </w:rPr>
        <w:t>provide</w:t>
      </w:r>
      <w:proofErr w:type="gramEnd"/>
      <w:r>
        <w:rPr>
          <w:rFonts w:ascii="Cambria" w:eastAsia="Cambria" w:hAnsi="Cambria" w:cs="Cambria"/>
        </w:rPr>
        <w:t xml:space="preserve"> students with understanding of human diversity with a primary focus on the United States</w:t>
      </w:r>
    </w:p>
    <w:p w:rsidR="00A57394" w:rsidRDefault="00A61EE4">
      <w:pPr>
        <w:rPr>
          <w:rFonts w:ascii="Cambria" w:eastAsia="Cambria" w:hAnsi="Cambria" w:cs="Cambria"/>
        </w:rPr>
      </w:pPr>
      <w:r>
        <w:rPr>
          <w:rFonts w:ascii="Cambria" w:eastAsia="Cambria" w:hAnsi="Cambria" w:cs="Cambria"/>
        </w:rPr>
        <w:t xml:space="preserve">3.  </w:t>
      </w:r>
      <w:r>
        <w:rPr>
          <w:rFonts w:ascii="Cambria" w:eastAsia="Cambria" w:hAnsi="Cambria" w:cs="Cambria"/>
        </w:rPr>
        <w:t xml:space="preserve">    focus on one or more socially constructed identities such as race, class, gender, sexuality, disability, age, ethnicity, and nationality, and</w:t>
      </w:r>
    </w:p>
    <w:p w:rsidR="00A57394" w:rsidRDefault="00A61EE4">
      <w:pPr>
        <w:rPr>
          <w:rFonts w:ascii="Cambria" w:eastAsia="Cambria" w:hAnsi="Cambria" w:cs="Cambria"/>
        </w:rPr>
      </w:pPr>
      <w:r>
        <w:rPr>
          <w:rFonts w:ascii="Cambria" w:eastAsia="Cambria" w:hAnsi="Cambria" w:cs="Cambria"/>
        </w:rPr>
        <w:t xml:space="preserve">4.      </w:t>
      </w:r>
      <w:proofErr w:type="gramStart"/>
      <w:r>
        <w:rPr>
          <w:rFonts w:ascii="Cambria" w:eastAsia="Cambria" w:hAnsi="Cambria" w:cs="Cambria"/>
        </w:rPr>
        <w:t>have</w:t>
      </w:r>
      <w:proofErr w:type="gramEnd"/>
      <w:r>
        <w:rPr>
          <w:rFonts w:ascii="Cambria" w:eastAsia="Cambria" w:hAnsi="Cambria" w:cs="Cambria"/>
        </w:rPr>
        <w:t xml:space="preserve"> two or more of the following goals and they must be reflected in the course learning objectives:</w:t>
      </w:r>
    </w:p>
    <w:p w:rsidR="00A57394" w:rsidRDefault="00A61EE4">
      <w:pPr>
        <w:rPr>
          <w:rFonts w:ascii="Cambria" w:eastAsia="Cambria" w:hAnsi="Cambria" w:cs="Cambria"/>
        </w:rPr>
      </w:pPr>
      <w:r>
        <w:rPr>
          <w:rFonts w:ascii="Noto Sans Symbols" w:eastAsia="Noto Sans Symbols" w:hAnsi="Noto Sans Symbols" w:cs="Noto Sans Symbols"/>
          <w:sz w:val="20"/>
          <w:szCs w:val="20"/>
        </w:rPr>
        <w:t xml:space="preserve">●        </w:t>
      </w:r>
      <w:proofErr w:type="gramStart"/>
      <w:r>
        <w:rPr>
          <w:rFonts w:ascii="Cambria" w:eastAsia="Cambria" w:hAnsi="Cambria" w:cs="Cambria"/>
        </w:rPr>
        <w:t>To</w:t>
      </w:r>
      <w:proofErr w:type="gramEnd"/>
      <w:r>
        <w:rPr>
          <w:rFonts w:ascii="Cambria" w:eastAsia="Cambria" w:hAnsi="Cambria" w:cs="Cambria"/>
        </w:rPr>
        <w:t xml:space="preserve"> provide an in-depth analysis of at least one socially constructed identity</w:t>
      </w:r>
    </w:p>
    <w:p w:rsidR="00A57394" w:rsidRDefault="00A61EE4">
      <w:pPr>
        <w:rPr>
          <w:rFonts w:ascii="Cambria" w:eastAsia="Cambria" w:hAnsi="Cambria" w:cs="Cambria"/>
        </w:rPr>
      </w:pPr>
      <w:r>
        <w:rPr>
          <w:rFonts w:ascii="Noto Sans Symbols" w:eastAsia="Noto Sans Symbols" w:hAnsi="Noto Sans Symbols" w:cs="Noto Sans Symbols"/>
          <w:sz w:val="20"/>
          <w:szCs w:val="20"/>
        </w:rPr>
        <w:t xml:space="preserve">●        </w:t>
      </w:r>
      <w:proofErr w:type="gramStart"/>
      <w:r>
        <w:rPr>
          <w:rFonts w:ascii="Cambria" w:eastAsia="Cambria" w:hAnsi="Cambria" w:cs="Cambria"/>
        </w:rPr>
        <w:t>To</w:t>
      </w:r>
      <w:proofErr w:type="gramEnd"/>
      <w:r>
        <w:rPr>
          <w:rFonts w:ascii="Cambria" w:eastAsia="Cambria" w:hAnsi="Cambria" w:cs="Cambria"/>
        </w:rPr>
        <w:t xml:space="preserve"> teach about the intersections of socially constructed categories, perspectives and experiences</w:t>
      </w:r>
    </w:p>
    <w:p w:rsidR="00A57394" w:rsidRDefault="00A61EE4">
      <w:pPr>
        <w:rPr>
          <w:rFonts w:ascii="Cambria" w:eastAsia="Cambria" w:hAnsi="Cambria" w:cs="Cambria"/>
        </w:rPr>
      </w:pPr>
      <w:r>
        <w:rPr>
          <w:rFonts w:ascii="Noto Sans Symbols" w:eastAsia="Noto Sans Symbols" w:hAnsi="Noto Sans Symbols" w:cs="Noto Sans Symbols"/>
          <w:sz w:val="20"/>
          <w:szCs w:val="20"/>
        </w:rPr>
        <w:t xml:space="preserve">●        </w:t>
      </w:r>
      <w:proofErr w:type="gramStart"/>
      <w:r>
        <w:rPr>
          <w:rFonts w:ascii="Cambria" w:eastAsia="Cambria" w:hAnsi="Cambria" w:cs="Cambria"/>
        </w:rPr>
        <w:t>To</w:t>
      </w:r>
      <w:proofErr w:type="gramEnd"/>
      <w:r>
        <w:rPr>
          <w:rFonts w:ascii="Cambria" w:eastAsia="Cambria" w:hAnsi="Cambria" w:cs="Cambria"/>
        </w:rPr>
        <w:t xml:space="preserve"> teach students to think critically about power, in</w:t>
      </w:r>
      <w:r>
        <w:rPr>
          <w:rFonts w:ascii="Cambria" w:eastAsia="Cambria" w:hAnsi="Cambria" w:cs="Cambria"/>
        </w:rPr>
        <w:t>equality, marginality and activism</w:t>
      </w:r>
    </w:p>
    <w:p w:rsidR="00A57394" w:rsidRDefault="00A61EE4">
      <w:pPr>
        <w:rPr>
          <w:rFonts w:ascii="Cambria" w:eastAsia="Cambria" w:hAnsi="Cambria" w:cs="Cambria"/>
        </w:rPr>
      </w:pPr>
      <w:r>
        <w:rPr>
          <w:rFonts w:ascii="Noto Sans Symbols" w:eastAsia="Noto Sans Symbols" w:hAnsi="Noto Sans Symbols" w:cs="Noto Sans Symbols"/>
          <w:sz w:val="20"/>
          <w:szCs w:val="20"/>
        </w:rPr>
        <w:t xml:space="preserve">●        </w:t>
      </w:r>
      <w:proofErr w:type="gramStart"/>
      <w:r>
        <w:rPr>
          <w:rFonts w:ascii="Cambria" w:eastAsia="Cambria" w:hAnsi="Cambria" w:cs="Cambria"/>
        </w:rPr>
        <w:t>To</w:t>
      </w:r>
      <w:proofErr w:type="gramEnd"/>
      <w:r>
        <w:rPr>
          <w:rFonts w:ascii="Cambria" w:eastAsia="Cambria" w:hAnsi="Cambria" w:cs="Cambria"/>
        </w:rPr>
        <w:t xml:space="preserve"> explore the customs, traditions, and cultural expressions (art, dance, music, literature, etc.) as they relate to experiences of power, privilege, oppression and activism</w:t>
      </w:r>
    </w:p>
    <w:p w:rsidR="00A57394" w:rsidRDefault="00A61EE4">
      <w:pPr>
        <w:rPr>
          <w:rFonts w:ascii="Cambria" w:eastAsia="Cambria" w:hAnsi="Cambria" w:cs="Cambria"/>
        </w:rPr>
      </w:pPr>
      <w:r>
        <w:rPr>
          <w:rFonts w:ascii="Noto Sans Symbols" w:eastAsia="Noto Sans Symbols" w:hAnsi="Noto Sans Symbols" w:cs="Noto Sans Symbols"/>
          <w:sz w:val="20"/>
          <w:szCs w:val="20"/>
        </w:rPr>
        <w:t xml:space="preserve">●        </w:t>
      </w:r>
      <w:proofErr w:type="gramStart"/>
      <w:r>
        <w:rPr>
          <w:rFonts w:ascii="Cambria" w:eastAsia="Cambria" w:hAnsi="Cambria" w:cs="Cambria"/>
        </w:rPr>
        <w:t>To</w:t>
      </w:r>
      <w:proofErr w:type="gramEnd"/>
      <w:r>
        <w:rPr>
          <w:rFonts w:ascii="Cambria" w:eastAsia="Cambria" w:hAnsi="Cambria" w:cs="Cambria"/>
        </w:rPr>
        <w:t xml:space="preserve"> explore the historical pre</w:t>
      </w:r>
      <w:r>
        <w:rPr>
          <w:rFonts w:ascii="Cambria" w:eastAsia="Cambria" w:hAnsi="Cambria" w:cs="Cambria"/>
        </w:rPr>
        <w:t>cursors of contemporary power relationships and the interconnected histories of various people as they relate to power, privilege and oppression</w:t>
      </w:r>
    </w:p>
    <w:p w:rsidR="00A57394" w:rsidRDefault="00A61EE4">
      <w:pPr>
        <w:rPr>
          <w:rFonts w:ascii="Cambria" w:eastAsia="Cambria" w:hAnsi="Cambria" w:cs="Cambria"/>
        </w:rPr>
      </w:pPr>
      <w:r>
        <w:rPr>
          <w:rFonts w:ascii="Noto Sans Symbols" w:eastAsia="Noto Sans Symbols" w:hAnsi="Noto Sans Symbols" w:cs="Noto Sans Symbols"/>
          <w:sz w:val="20"/>
          <w:szCs w:val="20"/>
        </w:rPr>
        <w:t xml:space="preserve">●        </w:t>
      </w:r>
      <w:proofErr w:type="gramStart"/>
      <w:r>
        <w:rPr>
          <w:rFonts w:ascii="Cambria" w:eastAsia="Cambria" w:hAnsi="Cambria" w:cs="Cambria"/>
        </w:rPr>
        <w:t>To</w:t>
      </w:r>
      <w:proofErr w:type="gramEnd"/>
      <w:r>
        <w:rPr>
          <w:rFonts w:ascii="Cambria" w:eastAsia="Cambria" w:hAnsi="Cambria" w:cs="Cambria"/>
        </w:rPr>
        <w:t xml:space="preserve"> investigate contemporary society and how institutions like education, law, government, religion, sc</w:t>
      </w:r>
      <w:r>
        <w:rPr>
          <w:rFonts w:ascii="Cambria" w:eastAsia="Cambria" w:hAnsi="Cambria" w:cs="Cambria"/>
        </w:rPr>
        <w:t>ience, health, military, and others contribute to the inequitable distribution of power and privilege in society.</w:t>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rPr>
          <w:rFonts w:ascii="Cambria" w:eastAsia="Cambria" w:hAnsi="Cambria" w:cs="Cambria"/>
        </w:rPr>
      </w:pPr>
      <w:r>
        <w:rPr>
          <w:rFonts w:ascii="Cambria" w:eastAsia="Cambria" w:hAnsi="Cambria" w:cs="Cambria"/>
        </w:rPr>
        <w:t>Courses must meet these requirements every time they are taught to have a D designation. Courses that are taught differently at different ti</w:t>
      </w:r>
      <w:r>
        <w:rPr>
          <w:rFonts w:ascii="Cambria" w:eastAsia="Cambria" w:hAnsi="Cambria" w:cs="Cambria"/>
        </w:rPr>
        <w:t>mes, such as TCORE courses, Special Topics courses, Independent Studies, or Internships, cannot not be given a D designation.</w:t>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rPr>
          <w:rFonts w:ascii="Cambria" w:eastAsia="Cambria" w:hAnsi="Cambria" w:cs="Cambria"/>
        </w:rPr>
      </w:pPr>
      <w:r>
        <w:rPr>
          <w:rFonts w:ascii="Cambria" w:eastAsia="Cambria" w:hAnsi="Cambria" w:cs="Cambria"/>
          <w:b/>
          <w:i/>
        </w:rPr>
        <w:t>The definition of “Diversity Requirement”, as defined in the UW Policy Directory, Chapter 114, Section 2, Subsection B.1.d is:</w:t>
      </w:r>
    </w:p>
    <w:p w:rsidR="00A57394" w:rsidRDefault="00A61EE4">
      <w:pPr>
        <w:rPr>
          <w:rFonts w:ascii="Cambria" w:eastAsia="Cambria" w:hAnsi="Cambria" w:cs="Cambria"/>
        </w:rPr>
      </w:pPr>
      <w:r>
        <w:rPr>
          <w:rFonts w:ascii="Cambria" w:eastAsia="Cambria" w:hAnsi="Cambria" w:cs="Cambria"/>
        </w:rPr>
        <w:t>“</w:t>
      </w:r>
      <w:r>
        <w:rPr>
          <w:rFonts w:ascii="Cambria" w:eastAsia="Cambria" w:hAnsi="Cambria" w:cs="Cambria"/>
        </w:rPr>
        <w:t>No fewer than 3 credits of courses, approved by the appropriate school or college, which focus on the sociocultural, political, and economic diversity of human experience at local, regional, or global scales. This requirement is meant to help the student d</w:t>
      </w:r>
      <w:r>
        <w:rPr>
          <w:rFonts w:ascii="Cambria" w:eastAsia="Cambria" w:hAnsi="Cambria" w:cs="Cambria"/>
        </w:rPr>
        <w:t>evelop an understanding of the complexities of living in increasingly diverse and interconnected societies. Courses focus on cross-cultural analysis and communication; and historical and contemporary inequities such as those associated with race, ethnicity</w:t>
      </w:r>
      <w:r>
        <w:rPr>
          <w:rFonts w:ascii="Cambria" w:eastAsia="Cambria" w:hAnsi="Cambria" w:cs="Cambria"/>
        </w:rPr>
        <w:t>, class, sex and gender, sexual orientation, nationality, ability, religion, creed, age, or socioeconomic status. Course activities should encourage thinking critically on topics such as power, inequality, marginality, and social movements, and effective c</w:t>
      </w:r>
      <w:r>
        <w:rPr>
          <w:rFonts w:ascii="Cambria" w:eastAsia="Cambria" w:hAnsi="Cambria" w:cs="Cambria"/>
        </w:rPr>
        <w:t>ommunication across cultural differences.”</w:t>
      </w:r>
    </w:p>
    <w:p w:rsidR="00A57394" w:rsidRDefault="00A61EE4">
      <w:pPr>
        <w:rPr>
          <w:rFonts w:ascii="Cambria" w:eastAsia="Cambria" w:hAnsi="Cambria" w:cs="Cambria"/>
        </w:rPr>
      </w:pPr>
      <w:r>
        <w:rPr>
          <w:rFonts w:ascii="Cambria" w:eastAsia="Cambria" w:hAnsi="Cambria" w:cs="Cambria"/>
        </w:rPr>
        <w:t>Note that while the above is part of the UW Seattle diversity policy, UW Tacoma added the requirement that diversity in the US be a primary focus of any course with a D designation.   This was instituted because i</w:t>
      </w:r>
      <w:r>
        <w:rPr>
          <w:rFonts w:ascii="Cambria" w:eastAsia="Cambria" w:hAnsi="Cambria" w:cs="Cambria"/>
        </w:rPr>
        <w:t>t was deemed important to ensure an understanding of diversity issues in the country where students are studying and will most likely live and work after graduation.</w:t>
      </w:r>
      <w:r>
        <w:rPr>
          <w:rFonts w:ascii="Cambria" w:eastAsia="Cambria" w:hAnsi="Cambria" w:cs="Cambria"/>
        </w:rPr>
        <w:tab/>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rPr>
          <w:rFonts w:ascii="Cambria" w:eastAsia="Cambria" w:hAnsi="Cambria" w:cs="Cambria"/>
        </w:rPr>
      </w:pPr>
      <w:r>
        <w:rPr>
          <w:rFonts w:ascii="Cambria" w:eastAsia="Cambria" w:hAnsi="Cambria" w:cs="Cambria"/>
        </w:rPr>
        <w:t xml:space="preserve"> </w:t>
      </w:r>
    </w:p>
    <w:p w:rsidR="00A57394" w:rsidRDefault="00A61EE4">
      <w:pPr>
        <w:rPr>
          <w:rFonts w:ascii="Cambria" w:eastAsia="Cambria" w:hAnsi="Cambria" w:cs="Cambria"/>
        </w:rPr>
      </w:pPr>
      <w:r>
        <w:rPr>
          <w:rFonts w:ascii="Cambria" w:eastAsia="Cambria" w:hAnsi="Cambria" w:cs="Cambria"/>
        </w:rPr>
        <w:t xml:space="preserve"> </w:t>
      </w:r>
    </w:p>
    <w:p w:rsidR="00A57394" w:rsidRDefault="00A57394"/>
    <w:p w:rsidR="00A57394" w:rsidRDefault="00A57394"/>
    <w:p w:rsidR="00A57394" w:rsidRDefault="00A57394"/>
    <w:sectPr w:rsidR="00A5739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D7BDE"/>
    <w:multiLevelType w:val="multilevel"/>
    <w:tmpl w:val="889C6964"/>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E6D4370"/>
    <w:multiLevelType w:val="multilevel"/>
    <w:tmpl w:val="B92E9344"/>
    <w:lvl w:ilvl="0">
      <w:start w:val="1"/>
      <w:numFmt w:val="decimal"/>
      <w:lvlText w:val="%1)"/>
      <w:lvlJc w:val="left"/>
      <w:pPr>
        <w:ind w:left="360" w:hanging="360"/>
      </w:pPr>
      <w:rPr>
        <w:b/>
        <w:i w:val="0"/>
      </w:rPr>
    </w:lvl>
    <w:lvl w:ilvl="1">
      <w:start w:val="1"/>
      <w:numFmt w:val="bullet"/>
      <w:lvlText w:val="o"/>
      <w:lvlJc w:val="left"/>
      <w:pPr>
        <w:ind w:left="360" w:hanging="360"/>
      </w:pPr>
      <w:rPr>
        <w:rFonts w:ascii="Courier New" w:eastAsia="Courier New" w:hAnsi="Courier New" w:cs="Courier New"/>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Noto Sans Symbols" w:eastAsia="Noto Sans Symbols" w:hAnsi="Noto Sans Symbols" w:cs="Noto Sans Symbols"/>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0AF5DBA"/>
    <w:multiLevelType w:val="multilevel"/>
    <w:tmpl w:val="F208C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C153AE"/>
    <w:multiLevelType w:val="multilevel"/>
    <w:tmpl w:val="DE60C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94"/>
    <w:rsid w:val="00A57394"/>
    <w:rsid w:val="00A6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BE596-FA14-4AEB-8D84-F9631754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FCG/FCCH25.html" TargetMode="External"/><Relationship Id="rId3" Type="http://schemas.openxmlformats.org/officeDocument/2006/relationships/settings" Target="settings.xml"/><Relationship Id="rId7" Type="http://schemas.openxmlformats.org/officeDocument/2006/relationships/hyperlink" Target="http://www.washington.edu/admin/rules/policies/FCG/FCCH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shington.edu/admin/rules/policies/FCG/FCCH24.html"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asystem.org/help-main/faculty-user-guide/add-questions-to-an-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dcterms:created xsi:type="dcterms:W3CDTF">2018-05-15T17:13:00Z</dcterms:created>
  <dcterms:modified xsi:type="dcterms:W3CDTF">2018-05-15T17:13:00Z</dcterms:modified>
</cp:coreProperties>
</file>