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E2" w:rsidRPr="00913A2C" w:rsidRDefault="001C22E2" w:rsidP="00A46406">
      <w:pPr>
        <w:tabs>
          <w:tab w:val="center" w:pos="4680"/>
          <w:tab w:val="right" w:pos="9360"/>
        </w:tabs>
        <w:spacing w:after="0" w:line="240" w:lineRule="auto"/>
        <w:contextualSpacing/>
        <w:jc w:val="center"/>
        <w:rPr>
          <w:rFonts w:ascii="Cambria" w:eastAsia="Calibri" w:hAnsi="Cambria" w:cs="Times New Roman"/>
          <w:b/>
        </w:rPr>
      </w:pPr>
      <w:r w:rsidRPr="00913A2C">
        <w:rPr>
          <w:rFonts w:ascii="Times New Roman" w:eastAsia="Calibri" w:hAnsi="Times New Roman" w:cs="Times New Roman"/>
          <w:b/>
          <w:noProof/>
        </w:rPr>
        <w:drawing>
          <wp:anchor distT="0" distB="0" distL="114300" distR="114300" simplePos="0" relativeHeight="251659264" behindDoc="1" locked="0" layoutInCell="1" allowOverlap="1" wp14:anchorId="3B299214" wp14:editId="44D5ED85">
            <wp:simplePos x="0" y="0"/>
            <wp:positionH relativeFrom="column">
              <wp:posOffset>-38100</wp:posOffset>
            </wp:positionH>
            <wp:positionV relativeFrom="paragraph">
              <wp:posOffset>-113030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C22E2" w:rsidRPr="00913A2C" w:rsidRDefault="001C22E2" w:rsidP="00A46406">
      <w:pPr>
        <w:tabs>
          <w:tab w:val="center" w:pos="4680"/>
          <w:tab w:val="right" w:pos="9360"/>
        </w:tabs>
        <w:spacing w:after="0" w:line="240" w:lineRule="auto"/>
        <w:contextualSpacing/>
        <w:jc w:val="center"/>
        <w:rPr>
          <w:rFonts w:ascii="Cambria" w:eastAsia="Calibri" w:hAnsi="Cambria" w:cs="Times New Roman"/>
          <w:b/>
        </w:rPr>
      </w:pPr>
    </w:p>
    <w:p w:rsidR="001C22E2" w:rsidRPr="00913A2C" w:rsidRDefault="001C22E2" w:rsidP="00A46406">
      <w:pPr>
        <w:tabs>
          <w:tab w:val="center" w:pos="4680"/>
          <w:tab w:val="right" w:pos="9360"/>
        </w:tabs>
        <w:spacing w:after="0" w:line="240" w:lineRule="auto"/>
        <w:contextualSpacing/>
        <w:jc w:val="center"/>
        <w:rPr>
          <w:rFonts w:ascii="Cambria" w:eastAsia="Calibri" w:hAnsi="Cambria" w:cs="Times New Roman"/>
          <w:b/>
        </w:rPr>
      </w:pPr>
    </w:p>
    <w:p w:rsidR="001C22E2" w:rsidRPr="00913A2C" w:rsidRDefault="001C22E2" w:rsidP="00A46406">
      <w:pPr>
        <w:tabs>
          <w:tab w:val="center" w:pos="4680"/>
          <w:tab w:val="right" w:pos="9360"/>
        </w:tabs>
        <w:spacing w:after="0" w:line="240" w:lineRule="auto"/>
        <w:contextualSpacing/>
        <w:jc w:val="center"/>
        <w:rPr>
          <w:rFonts w:ascii="Calibri" w:eastAsia="Calibri" w:hAnsi="Calibri" w:cs="Times New Roman"/>
        </w:rPr>
      </w:pPr>
      <w:r w:rsidRPr="00913A2C">
        <w:rPr>
          <w:rFonts w:ascii="Cambria" w:eastAsia="Calibri" w:hAnsi="Cambria" w:cs="Times New Roman"/>
          <w:b/>
        </w:rPr>
        <w:t>Faculty Assembly Executive Council (EC) Meeting Minutes</w:t>
      </w:r>
    </w:p>
    <w:p w:rsidR="001C22E2" w:rsidRPr="00913A2C" w:rsidRDefault="001C22E2" w:rsidP="00A46406">
      <w:pPr>
        <w:spacing w:after="0" w:line="240" w:lineRule="auto"/>
        <w:contextualSpacing/>
        <w:jc w:val="center"/>
        <w:rPr>
          <w:rFonts w:ascii="Cambria" w:eastAsia="Times New Roman" w:hAnsi="Cambria" w:cs="Times New Roman"/>
        </w:rPr>
      </w:pPr>
      <w:r>
        <w:rPr>
          <w:rFonts w:ascii="Cambria" w:eastAsia="Times New Roman" w:hAnsi="Cambria" w:cs="Times New Roman"/>
        </w:rPr>
        <w:t>January 18, 2017</w:t>
      </w:r>
      <w:r w:rsidRPr="00913A2C">
        <w:rPr>
          <w:rFonts w:ascii="Cambria" w:eastAsia="Times New Roman" w:hAnsi="Cambria" w:cs="Times New Roman"/>
        </w:rPr>
        <w:t xml:space="preserve">   1</w:t>
      </w:r>
      <w:r>
        <w:rPr>
          <w:rFonts w:ascii="Cambria" w:eastAsia="Times New Roman" w:hAnsi="Cambria" w:cs="Times New Roman"/>
        </w:rPr>
        <w:t>2:30-1:25pm    JRC</w:t>
      </w:r>
    </w:p>
    <w:p w:rsidR="001C22E2" w:rsidRPr="00913A2C" w:rsidRDefault="001C22E2" w:rsidP="00A46406">
      <w:pPr>
        <w:spacing w:after="0" w:line="240" w:lineRule="auto"/>
        <w:contextualSpacing/>
        <w:jc w:val="center"/>
        <w:rPr>
          <w:rFonts w:ascii="Cambria" w:eastAsia="Times New Roman" w:hAnsi="Cambria" w:cs="Times New Roman"/>
        </w:rPr>
      </w:pPr>
    </w:p>
    <w:p w:rsidR="001C22E2" w:rsidRPr="002C5C5C" w:rsidRDefault="001C22E2" w:rsidP="00A46406">
      <w:pPr>
        <w:spacing w:after="0" w:line="240" w:lineRule="auto"/>
        <w:contextualSpacing/>
        <w:rPr>
          <w:rFonts w:ascii="Cambria" w:eastAsia="Calibri" w:hAnsi="Cambria" w:cs="Times New Roman"/>
          <w:i/>
          <w:shd w:val="clear" w:color="auto" w:fill="FFFFFF"/>
        </w:rPr>
      </w:pPr>
      <w:r w:rsidRPr="002C5C5C">
        <w:rPr>
          <w:rFonts w:ascii="Cambria" w:eastAsia="Calibri" w:hAnsi="Cambria" w:cs="Times New Roman"/>
          <w:b/>
          <w:i/>
          <w:shd w:val="clear" w:color="auto" w:fill="FFFFFF"/>
        </w:rPr>
        <w:t>Present:</w:t>
      </w:r>
      <w:r w:rsidRPr="002C5C5C">
        <w:rPr>
          <w:rFonts w:ascii="Cambria" w:eastAsia="Calibri" w:hAnsi="Cambria" w:cs="Times New Roman"/>
          <w:i/>
          <w:shd w:val="clear" w:color="auto" w:fill="FFFFFF"/>
        </w:rPr>
        <w:t xml:space="preserve"> </w:t>
      </w:r>
      <w:r w:rsidR="00A40E84" w:rsidRPr="002C5C5C">
        <w:rPr>
          <w:rFonts w:ascii="Cambria" w:eastAsia="Calibri" w:hAnsi="Cambria" w:cs="Times New Roman"/>
          <w:i/>
          <w:shd w:val="clear" w:color="auto" w:fill="FFFFFF"/>
        </w:rPr>
        <w:t>Matt Kelley</w:t>
      </w:r>
      <w:r w:rsidR="00A40E84" w:rsidRPr="002C5C5C">
        <w:rPr>
          <w:rFonts w:ascii="Cambria" w:eastAsia="Calibri" w:hAnsi="Cambria" w:cs="Times New Roman"/>
          <w:b/>
          <w:i/>
          <w:shd w:val="clear" w:color="auto" w:fill="FFFFFF"/>
        </w:rPr>
        <w:t xml:space="preserve">, </w:t>
      </w:r>
      <w:r w:rsidR="00A40E84" w:rsidRPr="002C5C5C">
        <w:rPr>
          <w:rFonts w:ascii="Cambria" w:eastAsia="Calibri" w:hAnsi="Cambria" w:cs="Times New Roman"/>
          <w:i/>
          <w:shd w:val="clear" w:color="auto" w:fill="FFFFFF"/>
        </w:rPr>
        <w:t>Marcie Lazzari</w:t>
      </w:r>
      <w:r w:rsidR="00A40E84" w:rsidRPr="002C5C5C">
        <w:rPr>
          <w:rFonts w:ascii="Cambria" w:eastAsia="Calibri" w:hAnsi="Cambria" w:cs="Times New Roman"/>
          <w:b/>
          <w:i/>
          <w:shd w:val="clear" w:color="auto" w:fill="FFFFFF"/>
        </w:rPr>
        <w:t xml:space="preserve">, </w:t>
      </w:r>
      <w:r w:rsidR="00A40E84" w:rsidRPr="002C5C5C">
        <w:rPr>
          <w:rFonts w:ascii="Cambria" w:eastAsia="Calibri" w:hAnsi="Cambria" w:cs="Times New Roman"/>
          <w:i/>
          <w:shd w:val="clear" w:color="auto" w:fill="FFFFFF"/>
        </w:rPr>
        <w:t>Marian Harris</w:t>
      </w:r>
      <w:r w:rsidR="00A40E84" w:rsidRPr="002C5C5C">
        <w:rPr>
          <w:rFonts w:ascii="Cambria" w:eastAsia="Calibri" w:hAnsi="Cambria" w:cs="Times New Roman"/>
          <w:b/>
          <w:i/>
          <w:shd w:val="clear" w:color="auto" w:fill="FFFFFF"/>
        </w:rPr>
        <w:t xml:space="preserve">, </w:t>
      </w:r>
      <w:r w:rsidRPr="002C5C5C">
        <w:rPr>
          <w:rFonts w:ascii="Cambria" w:eastAsia="Calibri" w:hAnsi="Cambria" w:cs="Times New Roman"/>
          <w:i/>
          <w:shd w:val="clear" w:color="auto" w:fill="FFFFFF"/>
        </w:rPr>
        <w:t xml:space="preserve">Greg Rose, </w:t>
      </w:r>
      <w:r w:rsidR="00A40E84">
        <w:rPr>
          <w:rFonts w:ascii="Cambria" w:eastAsia="Calibri" w:hAnsi="Cambria" w:cs="Times New Roman"/>
          <w:i/>
          <w:shd w:val="clear" w:color="auto" w:fill="FFFFFF"/>
        </w:rPr>
        <w:t xml:space="preserve">Mark Pendras, </w:t>
      </w:r>
      <w:r w:rsidRPr="002C5C5C">
        <w:rPr>
          <w:rFonts w:ascii="Cambria" w:eastAsia="Calibri" w:hAnsi="Cambria" w:cs="Times New Roman"/>
          <w:i/>
          <w:shd w:val="clear" w:color="auto" w:fill="FFFFFF"/>
        </w:rPr>
        <w:t xml:space="preserve">Lauren Montgomery, Melissa </w:t>
      </w:r>
      <w:proofErr w:type="spellStart"/>
      <w:r w:rsidRPr="002C5C5C">
        <w:rPr>
          <w:rFonts w:ascii="Cambria" w:eastAsia="Calibri" w:hAnsi="Cambria" w:cs="Times New Roman"/>
          <w:i/>
          <w:shd w:val="clear" w:color="auto" w:fill="FFFFFF"/>
        </w:rPr>
        <w:t>Lavitt</w:t>
      </w:r>
      <w:proofErr w:type="spellEnd"/>
      <w:r w:rsidRPr="002C5C5C">
        <w:rPr>
          <w:rFonts w:ascii="Cambria" w:eastAsia="Calibri" w:hAnsi="Cambria" w:cs="Times New Roman"/>
          <w:i/>
          <w:shd w:val="clear" w:color="auto" w:fill="FFFFFF"/>
        </w:rPr>
        <w:t xml:space="preserve">, Ji-Hyun </w:t>
      </w:r>
      <w:proofErr w:type="spellStart"/>
      <w:r w:rsidRPr="002C5C5C">
        <w:rPr>
          <w:rFonts w:ascii="Cambria" w:eastAsia="Calibri" w:hAnsi="Cambria" w:cs="Times New Roman"/>
          <w:i/>
          <w:shd w:val="clear" w:color="auto" w:fill="FFFFFF"/>
        </w:rPr>
        <w:t>Ahn</w:t>
      </w:r>
      <w:proofErr w:type="spellEnd"/>
      <w:r w:rsidRPr="002C5C5C">
        <w:rPr>
          <w:rFonts w:ascii="Cambria" w:eastAsia="Calibri" w:hAnsi="Cambria" w:cs="Times New Roman"/>
          <w:i/>
          <w:shd w:val="clear" w:color="auto" w:fill="FFFFFF"/>
        </w:rPr>
        <w:t xml:space="preserve">, </w:t>
      </w:r>
      <w:r w:rsidR="00A40E84">
        <w:rPr>
          <w:rFonts w:ascii="Cambria" w:eastAsia="Calibri" w:hAnsi="Cambria" w:cs="Times New Roman"/>
          <w:i/>
          <w:shd w:val="clear" w:color="auto" w:fill="FFFFFF"/>
        </w:rPr>
        <w:t xml:space="preserve"> </w:t>
      </w:r>
      <w:proofErr w:type="spellStart"/>
      <w:r w:rsidRPr="002C5C5C">
        <w:rPr>
          <w:rFonts w:ascii="Cambria" w:eastAsia="Calibri" w:hAnsi="Cambria" w:cs="Times New Roman"/>
          <w:i/>
          <w:shd w:val="clear" w:color="auto" w:fill="FFFFFF"/>
        </w:rPr>
        <w:t>Ka</w:t>
      </w:r>
      <w:proofErr w:type="spellEnd"/>
      <w:r w:rsidRPr="002C5C5C">
        <w:rPr>
          <w:rFonts w:ascii="Cambria" w:eastAsia="Calibri" w:hAnsi="Cambria" w:cs="Times New Roman"/>
          <w:i/>
          <w:shd w:val="clear" w:color="auto" w:fill="FFFFFF"/>
        </w:rPr>
        <w:t xml:space="preserve"> Y</w:t>
      </w:r>
      <w:r w:rsidR="00A40E84">
        <w:rPr>
          <w:rFonts w:ascii="Cambria" w:eastAsia="Calibri" w:hAnsi="Cambria" w:cs="Times New Roman"/>
          <w:i/>
          <w:shd w:val="clear" w:color="auto" w:fill="FFFFFF"/>
        </w:rPr>
        <w:t>ee Yeung-Rhee, Michelle Garner</w:t>
      </w:r>
      <w:r w:rsidRPr="002C5C5C">
        <w:rPr>
          <w:rFonts w:ascii="Cambria" w:eastAsia="Calibri" w:hAnsi="Cambria" w:cs="Times New Roman"/>
          <w:i/>
          <w:shd w:val="clear" w:color="auto" w:fill="FFFFFF"/>
        </w:rPr>
        <w:t xml:space="preserve">, Sushil </w:t>
      </w:r>
      <w:proofErr w:type="spellStart"/>
      <w:r w:rsidRPr="002C5C5C">
        <w:rPr>
          <w:rFonts w:ascii="Cambria" w:eastAsia="Calibri" w:hAnsi="Cambria" w:cs="Times New Roman"/>
          <w:i/>
          <w:shd w:val="clear" w:color="auto" w:fill="FFFFFF"/>
        </w:rPr>
        <w:t>Oswal</w:t>
      </w:r>
      <w:proofErr w:type="spellEnd"/>
      <w:r w:rsidRPr="002C5C5C">
        <w:rPr>
          <w:rFonts w:ascii="Cambria" w:eastAsia="Calibri" w:hAnsi="Cambria" w:cs="Times New Roman"/>
          <w:i/>
          <w:shd w:val="clear" w:color="auto" w:fill="FFFFFF"/>
        </w:rPr>
        <w:t xml:space="preserve">, </w:t>
      </w:r>
      <w:proofErr w:type="spellStart"/>
      <w:r w:rsidRPr="002C5C5C">
        <w:rPr>
          <w:rFonts w:ascii="Cambria" w:eastAsia="Calibri" w:hAnsi="Cambria" w:cs="Times New Roman"/>
          <w:i/>
          <w:shd w:val="clear" w:color="auto" w:fill="FFFFFF"/>
        </w:rPr>
        <w:t>Loly</w:t>
      </w:r>
      <w:proofErr w:type="spellEnd"/>
      <w:r w:rsidRPr="002C5C5C">
        <w:rPr>
          <w:rFonts w:ascii="Cambria" w:eastAsia="Calibri" w:hAnsi="Cambria" w:cs="Times New Roman"/>
          <w:i/>
          <w:shd w:val="clear" w:color="auto" w:fill="FFFFFF"/>
        </w:rPr>
        <w:t xml:space="preserve"> Alcaide Ramirez ,</w:t>
      </w:r>
      <w:r w:rsidRPr="002C5C5C">
        <w:rPr>
          <w:rFonts w:ascii="Cambria" w:eastAsia="Calibri" w:hAnsi="Cambria" w:cs="Times New Roman"/>
          <w:b/>
          <w:i/>
          <w:shd w:val="clear" w:color="auto" w:fill="FFFFFF"/>
        </w:rPr>
        <w:t xml:space="preserve"> </w:t>
      </w:r>
      <w:r w:rsidR="00A40E84">
        <w:rPr>
          <w:rFonts w:ascii="Cambria" w:eastAsia="Calibri" w:hAnsi="Cambria" w:cs="Times New Roman"/>
          <w:i/>
          <w:shd w:val="clear" w:color="auto" w:fill="FFFFFF"/>
        </w:rPr>
        <w:t xml:space="preserve">Nicole Blair, </w:t>
      </w:r>
      <w:r w:rsidRPr="002C5C5C">
        <w:rPr>
          <w:rFonts w:ascii="Cambria" w:eastAsia="Calibri" w:hAnsi="Cambria" w:cs="Times New Roman"/>
          <w:i/>
          <w:shd w:val="clear" w:color="auto" w:fill="FFFFFF"/>
        </w:rPr>
        <w:t>Cha</w:t>
      </w:r>
      <w:r w:rsidR="002C5C5C">
        <w:rPr>
          <w:rFonts w:ascii="Cambria" w:eastAsia="Calibri" w:hAnsi="Cambria" w:cs="Times New Roman"/>
          <w:i/>
          <w:shd w:val="clear" w:color="auto" w:fill="FFFFFF"/>
        </w:rPr>
        <w:t xml:space="preserve">rles </w:t>
      </w:r>
      <w:proofErr w:type="spellStart"/>
      <w:r w:rsidR="002C5C5C">
        <w:rPr>
          <w:rFonts w:ascii="Cambria" w:eastAsia="Calibri" w:hAnsi="Cambria" w:cs="Times New Roman"/>
          <w:i/>
          <w:shd w:val="clear" w:color="auto" w:fill="FFFFFF"/>
        </w:rPr>
        <w:t>Costerella</w:t>
      </w:r>
      <w:proofErr w:type="spellEnd"/>
      <w:r w:rsidR="002C5C5C">
        <w:rPr>
          <w:rFonts w:ascii="Cambria" w:eastAsia="Calibri" w:hAnsi="Cambria" w:cs="Times New Roman"/>
          <w:i/>
          <w:shd w:val="clear" w:color="auto" w:fill="FFFFFF"/>
        </w:rPr>
        <w:t xml:space="preserve">, Marion </w:t>
      </w:r>
      <w:proofErr w:type="spellStart"/>
      <w:r w:rsidR="002C5C5C">
        <w:rPr>
          <w:rFonts w:ascii="Cambria" w:eastAsia="Calibri" w:hAnsi="Cambria" w:cs="Times New Roman"/>
          <w:i/>
          <w:shd w:val="clear" w:color="auto" w:fill="FFFFFF"/>
        </w:rPr>
        <w:t>Eberly</w:t>
      </w:r>
      <w:proofErr w:type="spellEnd"/>
      <w:r w:rsidR="002C5C5C">
        <w:rPr>
          <w:rFonts w:ascii="Cambria" w:eastAsia="Calibri" w:hAnsi="Cambria" w:cs="Times New Roman"/>
          <w:i/>
          <w:shd w:val="clear" w:color="auto" w:fill="FFFFFF"/>
        </w:rPr>
        <w:t xml:space="preserve">. </w:t>
      </w:r>
      <w:r w:rsidRPr="002C5C5C">
        <w:rPr>
          <w:rFonts w:ascii="Cambria" w:eastAsia="Calibri" w:hAnsi="Cambria" w:cs="Times New Roman"/>
          <w:i/>
          <w:shd w:val="clear" w:color="auto" w:fill="FFFFFF"/>
        </w:rPr>
        <w:t>Jim Gawel</w:t>
      </w:r>
      <w:r w:rsidRPr="002C5C5C">
        <w:rPr>
          <w:rFonts w:ascii="Cambria" w:eastAsia="Calibri" w:hAnsi="Cambria" w:cs="Times New Roman"/>
          <w:b/>
          <w:i/>
          <w:shd w:val="clear" w:color="auto" w:fill="FFFFFF"/>
        </w:rPr>
        <w:t>. Excused:</w:t>
      </w:r>
      <w:r w:rsidRPr="002C5C5C">
        <w:rPr>
          <w:rFonts w:ascii="Cambria" w:eastAsia="Calibri" w:hAnsi="Cambria" w:cs="Times New Roman"/>
          <w:i/>
          <w:shd w:val="clear" w:color="auto" w:fill="FFFFFF"/>
        </w:rPr>
        <w:t xml:space="preserve"> </w:t>
      </w:r>
      <w:r w:rsidR="00A40E84" w:rsidRPr="002C5C5C">
        <w:rPr>
          <w:rFonts w:ascii="Cambria" w:eastAsia="Calibri" w:hAnsi="Cambria" w:cs="Times New Roman"/>
          <w:i/>
          <w:shd w:val="clear" w:color="auto" w:fill="FFFFFF"/>
        </w:rPr>
        <w:t xml:space="preserve">Katie </w:t>
      </w:r>
      <w:proofErr w:type="spellStart"/>
      <w:r w:rsidR="00A40E84" w:rsidRPr="002C5C5C">
        <w:rPr>
          <w:rFonts w:ascii="Cambria" w:eastAsia="Calibri" w:hAnsi="Cambria" w:cs="Times New Roman"/>
          <w:i/>
          <w:shd w:val="clear" w:color="auto" w:fill="FFFFFF"/>
        </w:rPr>
        <w:t>Haerling</w:t>
      </w:r>
      <w:proofErr w:type="spellEnd"/>
      <w:r w:rsidR="00A40E84" w:rsidRPr="002C5C5C">
        <w:rPr>
          <w:rFonts w:ascii="Cambria" w:eastAsia="Calibri" w:hAnsi="Cambria" w:cs="Times New Roman"/>
          <w:i/>
          <w:shd w:val="clear" w:color="auto" w:fill="FFFFFF"/>
        </w:rPr>
        <w:t>, Jennifer Harris</w:t>
      </w:r>
      <w:r w:rsidR="00A40E84">
        <w:rPr>
          <w:rFonts w:ascii="Cambria" w:eastAsia="Calibri" w:hAnsi="Cambria" w:cs="Times New Roman"/>
          <w:i/>
          <w:shd w:val="clear" w:color="auto" w:fill="FFFFFF"/>
        </w:rPr>
        <w:t xml:space="preserve">, </w:t>
      </w:r>
      <w:r w:rsidR="00A40E84" w:rsidRPr="002C5C5C">
        <w:rPr>
          <w:rFonts w:ascii="Cambria" w:eastAsia="Calibri" w:hAnsi="Cambria" w:cs="Times New Roman"/>
          <w:i/>
          <w:shd w:val="clear" w:color="auto" w:fill="FFFFFF"/>
        </w:rPr>
        <w:t xml:space="preserve">Julia Aguirre, Jutta Heller, Mark Pagano, Jeff Cohen, </w:t>
      </w:r>
      <w:proofErr w:type="gramStart"/>
      <w:r w:rsidRPr="002C5C5C">
        <w:rPr>
          <w:rFonts w:ascii="Cambria" w:eastAsia="Calibri" w:hAnsi="Cambria" w:cs="Times New Roman"/>
          <w:i/>
          <w:shd w:val="clear" w:color="auto" w:fill="FFFFFF"/>
        </w:rPr>
        <w:t>Ellen</w:t>
      </w:r>
      <w:proofErr w:type="gramEnd"/>
      <w:r w:rsidRPr="002C5C5C">
        <w:rPr>
          <w:rFonts w:ascii="Cambria" w:eastAsia="Calibri" w:hAnsi="Cambria" w:cs="Times New Roman"/>
          <w:i/>
          <w:shd w:val="clear" w:color="auto" w:fill="FFFFFF"/>
        </w:rPr>
        <w:t xml:space="preserve"> Moore. </w:t>
      </w:r>
      <w:r w:rsidRPr="002C5C5C">
        <w:rPr>
          <w:rFonts w:ascii="Cambria" w:eastAsia="Calibri" w:hAnsi="Cambria" w:cs="Times New Roman"/>
          <w:b/>
          <w:i/>
          <w:shd w:val="clear" w:color="auto" w:fill="FFFFFF"/>
        </w:rPr>
        <w:t xml:space="preserve"> Guests: </w:t>
      </w:r>
      <w:r w:rsidR="00A40E84">
        <w:rPr>
          <w:rFonts w:ascii="Cambria" w:eastAsia="Calibri" w:hAnsi="Cambria" w:cs="Times New Roman"/>
          <w:i/>
          <w:shd w:val="clear" w:color="auto" w:fill="FFFFFF"/>
        </w:rPr>
        <w:t xml:space="preserve">Christine Stevens, Lindsay </w:t>
      </w:r>
      <w:proofErr w:type="spellStart"/>
      <w:r w:rsidR="00A40E84">
        <w:rPr>
          <w:rFonts w:ascii="Cambria" w:eastAsia="Calibri" w:hAnsi="Cambria" w:cs="Times New Roman"/>
          <w:i/>
          <w:shd w:val="clear" w:color="auto" w:fill="FFFFFF"/>
        </w:rPr>
        <w:t>McCunn</w:t>
      </w:r>
      <w:proofErr w:type="spellEnd"/>
      <w:r w:rsidR="007A6FE1">
        <w:rPr>
          <w:rFonts w:ascii="Cambria" w:eastAsia="Calibri" w:hAnsi="Cambria" w:cs="Times New Roman"/>
          <w:i/>
          <w:shd w:val="clear" w:color="auto" w:fill="FFFFFF"/>
        </w:rPr>
        <w:t xml:space="preserve">, Patrick </w:t>
      </w:r>
      <w:proofErr w:type="gramStart"/>
      <w:r w:rsidR="007A6FE1">
        <w:rPr>
          <w:rFonts w:ascii="Cambria" w:eastAsia="Calibri" w:hAnsi="Cambria" w:cs="Times New Roman"/>
          <w:i/>
          <w:shd w:val="clear" w:color="auto" w:fill="FFFFFF"/>
        </w:rPr>
        <w:t>Pow</w:t>
      </w:r>
      <w:proofErr w:type="gramEnd"/>
      <w:r w:rsidR="007A6FE1">
        <w:rPr>
          <w:rFonts w:ascii="Cambria" w:eastAsia="Calibri" w:hAnsi="Cambria" w:cs="Times New Roman"/>
          <w:i/>
          <w:shd w:val="clear" w:color="auto" w:fill="FFFFFF"/>
        </w:rPr>
        <w:t>.</w:t>
      </w:r>
    </w:p>
    <w:p w:rsidR="001C22E2" w:rsidRPr="00F21C7F" w:rsidRDefault="001C22E2" w:rsidP="00A46406">
      <w:pPr>
        <w:numPr>
          <w:ilvl w:val="0"/>
          <w:numId w:val="1"/>
        </w:numPr>
        <w:spacing w:after="0" w:line="240" w:lineRule="auto"/>
        <w:contextualSpacing/>
        <w:rPr>
          <w:rFonts w:asciiTheme="majorHAnsi" w:eastAsia="Times New Roman" w:hAnsiTheme="majorHAnsi" w:cs="Times New Roman"/>
        </w:rPr>
      </w:pPr>
      <w:r w:rsidRPr="00F21C7F">
        <w:rPr>
          <w:rFonts w:asciiTheme="majorHAnsi" w:eastAsia="Times New Roman" w:hAnsiTheme="majorHAnsi" w:cs="Times New Roman"/>
          <w:b/>
        </w:rPr>
        <w:t>Consent Agenda</w:t>
      </w:r>
    </w:p>
    <w:p w:rsidR="001C22E2" w:rsidRPr="00F21C7F" w:rsidRDefault="001C22E2" w:rsidP="00A46406">
      <w:pPr>
        <w:spacing w:after="0" w:line="240" w:lineRule="auto"/>
        <w:contextualSpacing/>
        <w:rPr>
          <w:rFonts w:asciiTheme="majorHAnsi" w:eastAsia="Times New Roman" w:hAnsiTheme="majorHAnsi" w:cs="Times New Roman"/>
        </w:rPr>
      </w:pPr>
      <w:r w:rsidRPr="00F21C7F">
        <w:rPr>
          <w:rFonts w:asciiTheme="majorHAnsi" w:eastAsia="Times New Roman" w:hAnsiTheme="majorHAnsi" w:cs="Times New Roman"/>
        </w:rPr>
        <w:t>The agenda was approved.</w:t>
      </w:r>
    </w:p>
    <w:p w:rsidR="001C22E2" w:rsidRPr="00F21C7F" w:rsidRDefault="001C22E2" w:rsidP="00A46406">
      <w:pPr>
        <w:numPr>
          <w:ilvl w:val="0"/>
          <w:numId w:val="1"/>
        </w:numPr>
        <w:spacing w:after="0" w:line="240" w:lineRule="auto"/>
        <w:contextualSpacing/>
        <w:rPr>
          <w:rFonts w:asciiTheme="majorHAnsi" w:eastAsia="Times New Roman" w:hAnsiTheme="majorHAnsi" w:cs="Times New Roman"/>
        </w:rPr>
      </w:pPr>
      <w:r w:rsidRPr="00F21C7F">
        <w:rPr>
          <w:rFonts w:asciiTheme="majorHAnsi" w:eastAsia="Times New Roman" w:hAnsiTheme="majorHAnsi" w:cs="Times New Roman"/>
          <w:b/>
        </w:rPr>
        <w:t>Approval of Minutes</w:t>
      </w:r>
    </w:p>
    <w:p w:rsidR="001C22E2" w:rsidRPr="00F21C7F" w:rsidRDefault="001C22E2" w:rsidP="00A46406">
      <w:pPr>
        <w:spacing w:after="0" w:line="240" w:lineRule="auto"/>
        <w:contextualSpacing/>
        <w:rPr>
          <w:rFonts w:asciiTheme="majorHAnsi" w:eastAsia="Calibri" w:hAnsiTheme="majorHAnsi" w:cs="Times New Roman"/>
        </w:rPr>
      </w:pPr>
      <w:r w:rsidRPr="00F21C7F">
        <w:rPr>
          <w:rFonts w:asciiTheme="majorHAnsi" w:eastAsia="Calibri" w:hAnsiTheme="majorHAnsi" w:cs="Times New Roman"/>
        </w:rPr>
        <w:t xml:space="preserve">The </w:t>
      </w:r>
      <w:r>
        <w:rPr>
          <w:rFonts w:asciiTheme="majorHAnsi" w:eastAsia="Calibri" w:hAnsiTheme="majorHAnsi" w:cs="Times New Roman"/>
        </w:rPr>
        <w:t>January 6, 2017</w:t>
      </w:r>
      <w:r w:rsidRPr="00F21C7F">
        <w:rPr>
          <w:rFonts w:asciiTheme="majorHAnsi" w:eastAsia="Calibri" w:hAnsiTheme="majorHAnsi" w:cs="Times New Roman"/>
        </w:rPr>
        <w:t xml:space="preserve"> Executive Council meeting minutes </w:t>
      </w:r>
      <w:r>
        <w:rPr>
          <w:rFonts w:asciiTheme="majorHAnsi" w:eastAsia="Calibri" w:hAnsiTheme="majorHAnsi" w:cs="Times New Roman"/>
        </w:rPr>
        <w:t>will be reviewed and approved at the 2.1.17 EC meeting.</w:t>
      </w:r>
      <w:r w:rsidRPr="00F21C7F">
        <w:rPr>
          <w:rFonts w:asciiTheme="majorHAnsi" w:eastAsia="Calibri" w:hAnsiTheme="majorHAnsi" w:cs="Times New Roman"/>
        </w:rPr>
        <w:t xml:space="preserve"> </w:t>
      </w:r>
    </w:p>
    <w:p w:rsidR="001C22E2" w:rsidRPr="00F21C7F" w:rsidRDefault="001C22E2" w:rsidP="00A46406">
      <w:pPr>
        <w:numPr>
          <w:ilvl w:val="0"/>
          <w:numId w:val="1"/>
        </w:numPr>
        <w:spacing w:after="0" w:line="240" w:lineRule="auto"/>
        <w:contextualSpacing/>
        <w:rPr>
          <w:rFonts w:asciiTheme="majorHAnsi" w:eastAsia="Times New Roman" w:hAnsiTheme="majorHAnsi" w:cs="Times New Roman"/>
          <w:b/>
        </w:rPr>
      </w:pPr>
      <w:r>
        <w:rPr>
          <w:rFonts w:asciiTheme="majorHAnsi" w:eastAsia="Times New Roman" w:hAnsiTheme="majorHAnsi" w:cs="Times New Roman"/>
          <w:b/>
        </w:rPr>
        <w:t>Announcements</w:t>
      </w:r>
    </w:p>
    <w:p w:rsidR="001C22E2" w:rsidRDefault="007A6FE1" w:rsidP="00A46406">
      <w:pPr>
        <w:pStyle w:val="ListParagraph"/>
        <w:numPr>
          <w:ilvl w:val="1"/>
          <w:numId w:val="1"/>
        </w:numPr>
        <w:spacing w:line="240" w:lineRule="auto"/>
        <w:rPr>
          <w:rFonts w:asciiTheme="majorHAnsi" w:hAnsiTheme="majorHAnsi" w:cs="Times New Roman"/>
        </w:rPr>
      </w:pPr>
      <w:r>
        <w:rPr>
          <w:rFonts w:asciiTheme="majorHAnsi" w:hAnsiTheme="majorHAnsi" w:cs="Times New Roman"/>
        </w:rPr>
        <w:t>There is a new S</w:t>
      </w:r>
      <w:r w:rsidR="001C22E2">
        <w:rPr>
          <w:rFonts w:asciiTheme="majorHAnsi" w:hAnsiTheme="majorHAnsi" w:cs="Times New Roman"/>
        </w:rPr>
        <w:t>tudent Health Services Proposal</w:t>
      </w:r>
      <w:r>
        <w:rPr>
          <w:rFonts w:asciiTheme="majorHAnsi" w:hAnsiTheme="majorHAnsi" w:cs="Times New Roman"/>
        </w:rPr>
        <w:t xml:space="preserve"> for students to vote on. Kathleen Farrell, interim Associate Vice-Chancellor for Student &amp; Enrollment Services, wanted faculty to be aware of this so that they could encourage their students to vote.</w:t>
      </w:r>
    </w:p>
    <w:p w:rsidR="001C22E2" w:rsidRDefault="001C22E2" w:rsidP="00A46406">
      <w:pPr>
        <w:pStyle w:val="ListParagraph"/>
        <w:numPr>
          <w:ilvl w:val="0"/>
          <w:numId w:val="1"/>
        </w:numPr>
        <w:spacing w:line="240" w:lineRule="auto"/>
        <w:rPr>
          <w:rFonts w:asciiTheme="majorHAnsi" w:hAnsiTheme="majorHAnsi" w:cs="Times New Roman"/>
          <w:b/>
        </w:rPr>
      </w:pPr>
      <w:r>
        <w:rPr>
          <w:rFonts w:asciiTheme="majorHAnsi" w:hAnsiTheme="majorHAnsi" w:cs="Times New Roman"/>
          <w:b/>
        </w:rPr>
        <w:t>EVCAA Report</w:t>
      </w:r>
    </w:p>
    <w:p w:rsidR="001C22E2" w:rsidRPr="001C22E2" w:rsidRDefault="007A6FE1" w:rsidP="00A46406">
      <w:pPr>
        <w:pStyle w:val="ListParagraph"/>
        <w:numPr>
          <w:ilvl w:val="2"/>
          <w:numId w:val="1"/>
        </w:numPr>
        <w:spacing w:line="240" w:lineRule="auto"/>
        <w:rPr>
          <w:rFonts w:asciiTheme="majorHAnsi" w:hAnsiTheme="majorHAnsi" w:cs="Times New Roman"/>
        </w:rPr>
      </w:pPr>
      <w:r w:rsidRPr="00A52F73">
        <w:rPr>
          <w:rFonts w:asciiTheme="majorHAnsi" w:hAnsiTheme="majorHAnsi" w:cs="Times New Roman"/>
          <w:u w:val="single"/>
        </w:rPr>
        <w:t>Revitalizing</w:t>
      </w:r>
      <w:r w:rsidR="001C22E2" w:rsidRPr="00A52F73">
        <w:rPr>
          <w:rFonts w:asciiTheme="majorHAnsi" w:hAnsiTheme="majorHAnsi" w:cs="Times New Roman"/>
          <w:u w:val="single"/>
        </w:rPr>
        <w:t xml:space="preserve"> our commitment</w:t>
      </w:r>
      <w:r w:rsidRPr="00A52F73">
        <w:rPr>
          <w:rFonts w:asciiTheme="majorHAnsi" w:hAnsiTheme="majorHAnsi" w:cs="Times New Roman"/>
          <w:u w:val="single"/>
        </w:rPr>
        <w:t xml:space="preserve"> and attention to Undergraduate </w:t>
      </w:r>
      <w:r w:rsidR="001C22E2" w:rsidRPr="00A52F73">
        <w:rPr>
          <w:rFonts w:asciiTheme="majorHAnsi" w:hAnsiTheme="majorHAnsi" w:cs="Times New Roman"/>
          <w:u w:val="single"/>
        </w:rPr>
        <w:t>Education</w:t>
      </w:r>
      <w:r>
        <w:rPr>
          <w:rFonts w:asciiTheme="majorHAnsi" w:hAnsiTheme="majorHAnsi" w:cs="Times New Roman"/>
        </w:rPr>
        <w:t xml:space="preserve"> – there </w:t>
      </w:r>
      <w:r w:rsidR="00CC5478">
        <w:rPr>
          <w:rFonts w:asciiTheme="majorHAnsi" w:hAnsiTheme="majorHAnsi" w:cs="Times New Roman"/>
        </w:rPr>
        <w:t>has been ongoing</w:t>
      </w:r>
      <w:r>
        <w:rPr>
          <w:rFonts w:asciiTheme="majorHAnsi" w:hAnsiTheme="majorHAnsi" w:cs="Times New Roman"/>
        </w:rPr>
        <w:t xml:space="preserve"> work around doing a better job with the first year experience and retention. A Learning and Retention Council has been created (a cross-campus group) and has been charged with a design challenge of Principles for the Student Journey. T</w:t>
      </w:r>
      <w:r w:rsidR="00CC5478">
        <w:rPr>
          <w:rFonts w:asciiTheme="majorHAnsi" w:hAnsiTheme="majorHAnsi" w:cs="Times New Roman"/>
        </w:rPr>
        <w:t>he council has</w:t>
      </w:r>
      <w:r>
        <w:rPr>
          <w:rFonts w:asciiTheme="majorHAnsi" w:hAnsiTheme="majorHAnsi" w:cs="Times New Roman"/>
        </w:rPr>
        <w:t xml:space="preserve"> formed small teams, each consulting with a student, to produce a map charting the student journey: decision points, pain points, accelerators, when they receive help, when they get lost</w:t>
      </w:r>
      <w:r w:rsidR="00CC5478">
        <w:rPr>
          <w:rFonts w:asciiTheme="majorHAnsi" w:hAnsiTheme="majorHAnsi" w:cs="Times New Roman"/>
        </w:rPr>
        <w:t>, etc</w:t>
      </w:r>
      <w:r>
        <w:rPr>
          <w:rFonts w:asciiTheme="majorHAnsi" w:hAnsiTheme="majorHAnsi" w:cs="Times New Roman"/>
        </w:rPr>
        <w:t>. The goal is to move away from academic competencies and put the student voice a</w:t>
      </w:r>
      <w:r w:rsidR="00CC5478">
        <w:rPr>
          <w:rFonts w:asciiTheme="majorHAnsi" w:hAnsiTheme="majorHAnsi" w:cs="Times New Roman"/>
        </w:rPr>
        <w:t xml:space="preserve">t the center; to understand </w:t>
      </w:r>
      <w:r>
        <w:rPr>
          <w:rFonts w:asciiTheme="majorHAnsi" w:hAnsiTheme="majorHAnsi" w:cs="Times New Roman"/>
        </w:rPr>
        <w:t>who we are serving.</w:t>
      </w:r>
      <w:r w:rsidR="00CC5478">
        <w:rPr>
          <w:rFonts w:asciiTheme="majorHAnsi" w:hAnsiTheme="majorHAnsi" w:cs="Times New Roman"/>
        </w:rPr>
        <w:t xml:space="preserve"> The outcomes of this task are to be: the maps; a symbol that is emblematic of what this journey entails, and these are to then inform the charges and work of other campus groups working on Undergraduate Education, namely, the Advising Council, the Undergraduate Education Academic Council, Student Success Council, Professional Development, Institutional Research, etc. Teams will also meet with an advisor. Again, the goal is to gain a new level of understanding of </w:t>
      </w:r>
      <w:proofErr w:type="gramStart"/>
      <w:r w:rsidR="00CC5478">
        <w:rPr>
          <w:rFonts w:asciiTheme="majorHAnsi" w:hAnsiTheme="majorHAnsi" w:cs="Times New Roman"/>
        </w:rPr>
        <w:t>students</w:t>
      </w:r>
      <w:proofErr w:type="gramEnd"/>
      <w:r w:rsidR="00CC5478">
        <w:rPr>
          <w:rFonts w:asciiTheme="majorHAnsi" w:hAnsiTheme="majorHAnsi" w:cs="Times New Roman"/>
        </w:rPr>
        <w:t xml:space="preserve"> needs and barriers.</w:t>
      </w:r>
    </w:p>
    <w:p w:rsidR="001C22E2" w:rsidRDefault="001C22E2" w:rsidP="00A46406">
      <w:pPr>
        <w:pStyle w:val="ListParagraph"/>
        <w:numPr>
          <w:ilvl w:val="2"/>
          <w:numId w:val="1"/>
        </w:numPr>
        <w:spacing w:line="240" w:lineRule="auto"/>
        <w:rPr>
          <w:rFonts w:asciiTheme="majorHAnsi" w:hAnsiTheme="majorHAnsi" w:cs="Times New Roman"/>
        </w:rPr>
      </w:pPr>
      <w:r w:rsidRPr="00A52F73">
        <w:rPr>
          <w:rFonts w:asciiTheme="majorHAnsi" w:hAnsiTheme="majorHAnsi" w:cs="Times New Roman"/>
          <w:u w:val="single"/>
        </w:rPr>
        <w:t>Finish building out Academic Affairs</w:t>
      </w:r>
      <w:r w:rsidR="00A52F73" w:rsidRPr="00A52F73">
        <w:rPr>
          <w:rFonts w:asciiTheme="majorHAnsi" w:hAnsiTheme="majorHAnsi" w:cs="Times New Roman"/>
          <w:u w:val="single"/>
        </w:rPr>
        <w:t xml:space="preserve"> &amp; New Program </w:t>
      </w:r>
      <w:r w:rsidR="00A52F73">
        <w:rPr>
          <w:rFonts w:asciiTheme="majorHAnsi" w:hAnsiTheme="majorHAnsi" w:cs="Times New Roman"/>
          <w:u w:val="single"/>
        </w:rPr>
        <w:t xml:space="preserve">Approval </w:t>
      </w:r>
      <w:r w:rsidR="00A52F73" w:rsidRPr="00A52F73">
        <w:rPr>
          <w:rFonts w:asciiTheme="majorHAnsi" w:hAnsiTheme="majorHAnsi" w:cs="Times New Roman"/>
          <w:u w:val="single"/>
        </w:rPr>
        <w:t>Process</w:t>
      </w:r>
      <w:r w:rsidR="007A6FE1">
        <w:rPr>
          <w:rFonts w:asciiTheme="majorHAnsi" w:hAnsiTheme="majorHAnsi" w:cs="Times New Roman"/>
        </w:rPr>
        <w:t>–</w:t>
      </w:r>
      <w:r w:rsidR="00A52F73">
        <w:rPr>
          <w:rFonts w:asciiTheme="majorHAnsi" w:hAnsiTheme="majorHAnsi" w:cs="Times New Roman"/>
        </w:rPr>
        <w:t xml:space="preserve"> T</w:t>
      </w:r>
      <w:r w:rsidR="007A6FE1">
        <w:rPr>
          <w:rFonts w:asciiTheme="majorHAnsi" w:hAnsiTheme="majorHAnsi" w:cs="Times New Roman"/>
        </w:rPr>
        <w:t xml:space="preserve">here </w:t>
      </w:r>
      <w:r w:rsidR="00A52F73">
        <w:rPr>
          <w:rFonts w:asciiTheme="majorHAnsi" w:hAnsiTheme="majorHAnsi" w:cs="Times New Roman"/>
        </w:rPr>
        <w:t>has been a</w:t>
      </w:r>
      <w:r w:rsidR="007A6FE1">
        <w:rPr>
          <w:rFonts w:asciiTheme="majorHAnsi" w:hAnsiTheme="majorHAnsi" w:cs="Times New Roman"/>
        </w:rPr>
        <w:t xml:space="preserve"> reorganization of how people report to the EVCAA</w:t>
      </w:r>
      <w:r w:rsidR="00CC5478">
        <w:rPr>
          <w:rFonts w:asciiTheme="majorHAnsi" w:hAnsiTheme="majorHAnsi" w:cs="Times New Roman"/>
        </w:rPr>
        <w:t>. Also, currently underway is a detailed fleshing out of the new program approval process. Deans and Directors will see the</w:t>
      </w:r>
      <w:r w:rsidR="00A52F73">
        <w:rPr>
          <w:rFonts w:asciiTheme="majorHAnsi" w:hAnsiTheme="majorHAnsi" w:cs="Times New Roman"/>
        </w:rPr>
        <w:t xml:space="preserve"> program</w:t>
      </w:r>
      <w:r w:rsidR="00CC5478">
        <w:rPr>
          <w:rFonts w:asciiTheme="majorHAnsi" w:hAnsiTheme="majorHAnsi" w:cs="Times New Roman"/>
        </w:rPr>
        <w:t xml:space="preserve"> idea in its earliest stage and then throughout the program’</w:t>
      </w:r>
      <w:r w:rsidR="00A52F73">
        <w:rPr>
          <w:rFonts w:asciiTheme="majorHAnsi" w:hAnsiTheme="majorHAnsi" w:cs="Times New Roman"/>
        </w:rPr>
        <w:t>s development. T</w:t>
      </w:r>
      <w:r w:rsidR="00CC5478">
        <w:rPr>
          <w:rFonts w:asciiTheme="majorHAnsi" w:hAnsiTheme="majorHAnsi" w:cs="Times New Roman"/>
        </w:rPr>
        <w:t>he fiscal process will be brought in more thoroughly and thoughtfully</w:t>
      </w:r>
      <w:r w:rsidR="00A52F73">
        <w:rPr>
          <w:rFonts w:asciiTheme="majorHAnsi" w:hAnsiTheme="majorHAnsi" w:cs="Times New Roman"/>
        </w:rPr>
        <w:t>, including adding the Executive Budget Committee to the process. T</w:t>
      </w:r>
      <w:r w:rsidR="00CC5478">
        <w:rPr>
          <w:rFonts w:asciiTheme="majorHAnsi" w:hAnsiTheme="majorHAnsi" w:cs="Times New Roman"/>
        </w:rPr>
        <w:t xml:space="preserve">he goal </w:t>
      </w:r>
      <w:r w:rsidR="00A52F73">
        <w:rPr>
          <w:rFonts w:asciiTheme="majorHAnsi" w:hAnsiTheme="majorHAnsi" w:cs="Times New Roman"/>
        </w:rPr>
        <w:t xml:space="preserve">of the new process </w:t>
      </w:r>
      <w:r w:rsidR="00CC5478">
        <w:rPr>
          <w:rFonts w:asciiTheme="majorHAnsi" w:hAnsiTheme="majorHAnsi" w:cs="Times New Roman"/>
        </w:rPr>
        <w:t>will be to inform one another of our work/goals in order to better collaborate. For instance, some new programs may not “pencil out”</w:t>
      </w:r>
      <w:r w:rsidR="00A52F73">
        <w:rPr>
          <w:rFonts w:asciiTheme="majorHAnsi" w:hAnsiTheme="majorHAnsi" w:cs="Times New Roman"/>
        </w:rPr>
        <w:t xml:space="preserve"> financially but,</w:t>
      </w:r>
      <w:r w:rsidR="00CC5478">
        <w:rPr>
          <w:rFonts w:asciiTheme="majorHAnsi" w:hAnsiTheme="majorHAnsi" w:cs="Times New Roman"/>
        </w:rPr>
        <w:t xml:space="preserve"> through collaboration across campus, revenue from some programs can go to help offset the costs of more expensive programs</w:t>
      </w:r>
      <w:r w:rsidR="00A52F73">
        <w:rPr>
          <w:rFonts w:asciiTheme="majorHAnsi" w:hAnsiTheme="majorHAnsi" w:cs="Times New Roman"/>
        </w:rPr>
        <w:t xml:space="preserve">. Additionally, bringing in the fiscal process more intentionally will help to inform APCC in their review to know what a new program will entail in terms of campus resources. Amanda DeBato, </w:t>
      </w:r>
      <w:r w:rsidR="00A52F73" w:rsidRPr="00A52F73">
        <w:rPr>
          <w:rFonts w:asciiTheme="majorHAnsi" w:hAnsiTheme="majorHAnsi" w:cs="Times New Roman"/>
        </w:rPr>
        <w:t>Executive Assistant to the Executive Vice Chancellor for Academic Affairs</w:t>
      </w:r>
      <w:r w:rsidR="00A52F73">
        <w:rPr>
          <w:rFonts w:asciiTheme="majorHAnsi" w:hAnsiTheme="majorHAnsi" w:cs="Times New Roman"/>
        </w:rPr>
        <w:t xml:space="preserve">, has been developing an electronic mechanism that will enable campus to check where a program is at various checkpoints. This will help to make the process more transparent and accessible. </w:t>
      </w:r>
    </w:p>
    <w:p w:rsidR="00A52F73" w:rsidRDefault="00A52F73" w:rsidP="00A46406">
      <w:pPr>
        <w:pStyle w:val="ListParagraph"/>
        <w:numPr>
          <w:ilvl w:val="3"/>
          <w:numId w:val="1"/>
        </w:numPr>
        <w:spacing w:line="240" w:lineRule="auto"/>
        <w:rPr>
          <w:rFonts w:asciiTheme="majorHAnsi" w:hAnsiTheme="majorHAnsi" w:cs="Times New Roman"/>
        </w:rPr>
      </w:pPr>
      <w:r>
        <w:rPr>
          <w:rFonts w:asciiTheme="majorHAnsi" w:hAnsiTheme="majorHAnsi" w:cs="Times New Roman"/>
        </w:rPr>
        <w:t>Lauren Montgomery, vice chair of Faculty Assembly and APCC member, shared that APCC has a subcommittee working on the PNOI format/process (Planning Notice of Intent). It was noted that new program</w:t>
      </w:r>
      <w:r w:rsidR="00EC6B0E">
        <w:rPr>
          <w:rFonts w:asciiTheme="majorHAnsi" w:hAnsiTheme="majorHAnsi" w:cs="Times New Roman"/>
        </w:rPr>
        <w:t xml:space="preserve"> approval</w:t>
      </w:r>
      <w:r>
        <w:rPr>
          <w:rFonts w:asciiTheme="majorHAnsi" w:hAnsiTheme="majorHAnsi" w:cs="Times New Roman"/>
        </w:rPr>
        <w:t xml:space="preserve"> process and the</w:t>
      </w:r>
      <w:r w:rsidR="00EC6B0E">
        <w:rPr>
          <w:rFonts w:asciiTheme="majorHAnsi" w:hAnsiTheme="majorHAnsi" w:cs="Times New Roman"/>
        </w:rPr>
        <w:t xml:space="preserve"> new</w:t>
      </w:r>
      <w:r>
        <w:rPr>
          <w:rFonts w:asciiTheme="majorHAnsi" w:hAnsiTheme="majorHAnsi" w:cs="Times New Roman"/>
        </w:rPr>
        <w:t xml:space="preserve"> PNOI format </w:t>
      </w:r>
      <w:r w:rsidR="00EC6B0E">
        <w:rPr>
          <w:rFonts w:asciiTheme="majorHAnsi" w:hAnsiTheme="majorHAnsi" w:cs="Times New Roman"/>
        </w:rPr>
        <w:t>need</w:t>
      </w:r>
      <w:r>
        <w:rPr>
          <w:rFonts w:asciiTheme="majorHAnsi" w:hAnsiTheme="majorHAnsi" w:cs="Times New Roman"/>
        </w:rPr>
        <w:t xml:space="preserve"> to align. Jill Purdy,</w:t>
      </w:r>
      <w:r w:rsidRPr="00A52F73">
        <w:t xml:space="preserve"> </w:t>
      </w:r>
      <w:r w:rsidRPr="00A52F73">
        <w:rPr>
          <w:rFonts w:asciiTheme="majorHAnsi" w:hAnsiTheme="majorHAnsi" w:cs="Times New Roman"/>
        </w:rPr>
        <w:t>Associate Vice Chancellor for Undergraduate Affairs</w:t>
      </w:r>
      <w:r>
        <w:rPr>
          <w:rFonts w:asciiTheme="majorHAnsi" w:hAnsiTheme="majorHAnsi" w:cs="Times New Roman"/>
        </w:rPr>
        <w:t xml:space="preserve">, and Ruth Ward, Administrative Coordinator to the Faculty Assembly, are involved in both work groups and can therefore, make sure that the work aligns with each other. Additionally, it was requested that a draft of the new program proposal process be brought to EC as well. EVCAA </w:t>
      </w:r>
      <w:proofErr w:type="spellStart"/>
      <w:r>
        <w:rPr>
          <w:rFonts w:asciiTheme="majorHAnsi" w:hAnsiTheme="majorHAnsi" w:cs="Times New Roman"/>
        </w:rPr>
        <w:t>Lavitt</w:t>
      </w:r>
      <w:proofErr w:type="spellEnd"/>
      <w:r>
        <w:rPr>
          <w:rFonts w:asciiTheme="majorHAnsi" w:hAnsiTheme="majorHAnsi" w:cs="Times New Roman"/>
        </w:rPr>
        <w:t xml:space="preserve"> will bring a draft to EC for feedback and discussion. </w:t>
      </w:r>
    </w:p>
    <w:p w:rsidR="00EC6B0E" w:rsidRPr="001C22E2" w:rsidRDefault="00EC6B0E" w:rsidP="00A46406">
      <w:pPr>
        <w:pStyle w:val="ListParagraph"/>
        <w:spacing w:line="240" w:lineRule="auto"/>
        <w:ind w:left="540"/>
        <w:rPr>
          <w:rFonts w:asciiTheme="majorHAnsi" w:hAnsiTheme="majorHAnsi" w:cs="Times New Roman"/>
        </w:rPr>
      </w:pPr>
      <w:r>
        <w:rPr>
          <w:rFonts w:asciiTheme="majorHAnsi" w:hAnsiTheme="majorHAnsi" w:cs="Times New Roman"/>
        </w:rPr>
        <w:t xml:space="preserve">An EC member asked for clarity on the process for new undergraduate certificate programs. EVCAA </w:t>
      </w:r>
      <w:proofErr w:type="spellStart"/>
      <w:r>
        <w:rPr>
          <w:rFonts w:asciiTheme="majorHAnsi" w:hAnsiTheme="majorHAnsi" w:cs="Times New Roman"/>
        </w:rPr>
        <w:t>Lavitt</w:t>
      </w:r>
      <w:proofErr w:type="spellEnd"/>
      <w:r>
        <w:rPr>
          <w:rFonts w:asciiTheme="majorHAnsi" w:hAnsiTheme="majorHAnsi" w:cs="Times New Roman"/>
        </w:rPr>
        <w:t xml:space="preserve"> will follow up on this. </w:t>
      </w:r>
    </w:p>
    <w:p w:rsidR="001C22E2" w:rsidRPr="001C22E2" w:rsidRDefault="001C22E2" w:rsidP="00A46406">
      <w:pPr>
        <w:pStyle w:val="ListParagraph"/>
        <w:numPr>
          <w:ilvl w:val="2"/>
          <w:numId w:val="1"/>
        </w:numPr>
        <w:spacing w:line="240" w:lineRule="auto"/>
        <w:rPr>
          <w:rFonts w:asciiTheme="majorHAnsi" w:hAnsiTheme="majorHAnsi" w:cs="Times New Roman"/>
        </w:rPr>
      </w:pPr>
      <w:r w:rsidRPr="00EC6B0E">
        <w:rPr>
          <w:rFonts w:asciiTheme="majorHAnsi" w:hAnsiTheme="majorHAnsi" w:cs="Times New Roman"/>
          <w:u w:val="single"/>
        </w:rPr>
        <w:lastRenderedPageBreak/>
        <w:t>Search Updates</w:t>
      </w:r>
      <w:r w:rsidR="00CC5478">
        <w:rPr>
          <w:rFonts w:asciiTheme="majorHAnsi" w:hAnsiTheme="majorHAnsi" w:cs="Times New Roman"/>
        </w:rPr>
        <w:t xml:space="preserve"> – There are two searches moving forward: for the Dean of the Institute of Technology and for the Dean of the School of Education. The searches are bringing candidates to campus. These have been great searches and the pools of candidates are diverse in perspective, ethnicity, and background.</w:t>
      </w:r>
    </w:p>
    <w:p w:rsidR="001C22E2" w:rsidRPr="00F21C7F" w:rsidRDefault="001C22E2" w:rsidP="00A46406">
      <w:pPr>
        <w:pStyle w:val="ListParagraph"/>
        <w:numPr>
          <w:ilvl w:val="0"/>
          <w:numId w:val="1"/>
        </w:numPr>
        <w:spacing w:line="240" w:lineRule="auto"/>
        <w:rPr>
          <w:rFonts w:asciiTheme="majorHAnsi" w:hAnsiTheme="majorHAnsi" w:cs="Times New Roman"/>
          <w:b/>
        </w:rPr>
      </w:pPr>
      <w:r w:rsidRPr="00F21C7F">
        <w:rPr>
          <w:rFonts w:asciiTheme="majorHAnsi" w:hAnsiTheme="majorHAnsi" w:cs="Times New Roman"/>
          <w:b/>
        </w:rPr>
        <w:t>Chair’s Report and Discussion Items</w:t>
      </w:r>
    </w:p>
    <w:p w:rsidR="001C22E2" w:rsidRPr="00F21C7F" w:rsidRDefault="001C22E2" w:rsidP="00A46406">
      <w:pPr>
        <w:pStyle w:val="ListParagraph"/>
        <w:numPr>
          <w:ilvl w:val="1"/>
          <w:numId w:val="1"/>
        </w:numPr>
        <w:spacing w:line="240" w:lineRule="auto"/>
        <w:rPr>
          <w:rFonts w:asciiTheme="majorHAnsi" w:hAnsiTheme="majorHAnsi" w:cs="Times New Roman"/>
          <w:i/>
          <w:u w:val="single"/>
        </w:rPr>
      </w:pPr>
      <w:r w:rsidRPr="001C22E2">
        <w:rPr>
          <w:rFonts w:asciiTheme="majorHAnsi" w:hAnsiTheme="majorHAnsi" w:cs="Times New Roman"/>
          <w:u w:val="single"/>
        </w:rPr>
        <w:t xml:space="preserve">IT Accessibility Implementation Plan for UW Tacoma - Patrick Pow                                 </w:t>
      </w:r>
    </w:p>
    <w:p w:rsidR="00A46406" w:rsidRDefault="001C22E2" w:rsidP="00A46406">
      <w:pPr>
        <w:pStyle w:val="ListParagraph"/>
        <w:spacing w:line="240" w:lineRule="auto"/>
        <w:ind w:left="540"/>
        <w:rPr>
          <w:rFonts w:asciiTheme="majorHAnsi" w:hAnsiTheme="majorHAnsi" w:cs="Times New Roman"/>
          <w:i/>
        </w:rPr>
      </w:pPr>
      <w:r w:rsidRPr="00EC6B0E">
        <w:rPr>
          <w:rFonts w:asciiTheme="majorHAnsi" w:hAnsiTheme="majorHAnsi" w:cs="Times New Roman"/>
          <w:i/>
        </w:rPr>
        <w:t>See Appendix A for material:</w:t>
      </w:r>
      <w:r w:rsidR="00A40E84" w:rsidRPr="00EC6B0E">
        <w:rPr>
          <w:rFonts w:asciiTheme="majorHAnsi" w:hAnsiTheme="majorHAnsi" w:cs="Times New Roman"/>
          <w:i/>
        </w:rPr>
        <w:t xml:space="preserve"> UW Tacoma IT Accessibilit</w:t>
      </w:r>
      <w:r w:rsidR="00EC6B0E">
        <w:rPr>
          <w:rFonts w:asciiTheme="majorHAnsi" w:hAnsiTheme="majorHAnsi" w:cs="Times New Roman"/>
          <w:i/>
        </w:rPr>
        <w:t>y Policy and Implementation Plan</w:t>
      </w:r>
    </w:p>
    <w:p w:rsidR="00EC6B0E" w:rsidRPr="00A46406" w:rsidRDefault="00EC6B0E" w:rsidP="00A46406">
      <w:pPr>
        <w:spacing w:line="240" w:lineRule="auto"/>
        <w:rPr>
          <w:rFonts w:asciiTheme="majorHAnsi" w:hAnsiTheme="majorHAnsi" w:cs="Times New Roman"/>
          <w:i/>
        </w:rPr>
      </w:pPr>
      <w:r w:rsidRPr="00A46406">
        <w:rPr>
          <w:rFonts w:asciiTheme="majorHAnsi" w:hAnsiTheme="majorHAnsi" w:cs="Times New Roman"/>
        </w:rPr>
        <w:t xml:space="preserve">UW Tacoma was required by the State of Washington to have an Accessibility Policy by December 2016. The University of Washington prepared a tri-campus Accessibility Policy. At UW Tacoma, the implementation process will begin at the end of March 2017. This policy includes several things, some of which are, making the public-facing website more accessible and converting PDF documents on the website to a more accessible document type. This is a nation-wide movement to increase accessibility and recognize that “Diversity Includes Disability.” </w:t>
      </w:r>
      <w:r w:rsidRPr="00A46406">
        <w:rPr>
          <w:rFonts w:asciiTheme="majorHAnsi" w:hAnsiTheme="majorHAnsi" w:cs="Times New Roman"/>
        </w:rPr>
        <w:t xml:space="preserve">Patrick </w:t>
      </w:r>
      <w:proofErr w:type="gramStart"/>
      <w:r w:rsidRPr="00A46406">
        <w:rPr>
          <w:rFonts w:asciiTheme="majorHAnsi" w:hAnsiTheme="majorHAnsi" w:cs="Times New Roman"/>
        </w:rPr>
        <w:t>Pow</w:t>
      </w:r>
      <w:proofErr w:type="gramEnd"/>
      <w:r w:rsidRPr="00A46406">
        <w:rPr>
          <w:rFonts w:asciiTheme="majorHAnsi" w:hAnsiTheme="majorHAnsi" w:cs="Times New Roman"/>
        </w:rPr>
        <w:t>, Vice Chancellor for Information Technology</w:t>
      </w:r>
      <w:r w:rsidRPr="00A46406">
        <w:rPr>
          <w:rFonts w:asciiTheme="majorHAnsi" w:hAnsiTheme="majorHAnsi" w:cs="Times New Roman"/>
        </w:rPr>
        <w:t xml:space="preserve">, asked that Faculty Assembly and the Executive Council sponsor the policy and implementation plan. </w:t>
      </w:r>
      <w:r w:rsidRPr="00A46406">
        <w:rPr>
          <w:rFonts w:asciiTheme="majorHAnsi" w:hAnsiTheme="majorHAnsi" w:cs="Times New Roman"/>
        </w:rPr>
        <w:t>EC will review and discuss the policy and implementation plan and give feedback to him.</w:t>
      </w:r>
    </w:p>
    <w:p w:rsidR="001C22E2" w:rsidRPr="00F21C7F" w:rsidRDefault="001C22E2" w:rsidP="00A46406">
      <w:pPr>
        <w:pStyle w:val="ListParagraph"/>
        <w:numPr>
          <w:ilvl w:val="1"/>
          <w:numId w:val="1"/>
        </w:numPr>
        <w:spacing w:line="240" w:lineRule="auto"/>
        <w:rPr>
          <w:rFonts w:asciiTheme="majorHAnsi" w:hAnsiTheme="majorHAnsi" w:cs="Times New Roman"/>
          <w:i/>
          <w:u w:val="single"/>
        </w:rPr>
      </w:pPr>
      <w:r w:rsidRPr="001C22E2">
        <w:rPr>
          <w:rFonts w:asciiTheme="majorHAnsi" w:hAnsiTheme="majorHAnsi" w:cs="Times New Roman"/>
          <w:u w:val="single"/>
        </w:rPr>
        <w:t xml:space="preserve">Draft Child and Lactation Policy -  Marian Harris          </w:t>
      </w:r>
      <w:r>
        <w:rPr>
          <w:rFonts w:asciiTheme="majorHAnsi" w:hAnsiTheme="majorHAnsi" w:cs="Times New Roman"/>
          <w:u w:val="single"/>
        </w:rPr>
        <w:t xml:space="preserve"> </w:t>
      </w:r>
    </w:p>
    <w:p w:rsidR="00EC6B0E" w:rsidRDefault="001C22E2" w:rsidP="00A46406">
      <w:pPr>
        <w:pStyle w:val="ListParagraph"/>
        <w:spacing w:line="240" w:lineRule="auto"/>
        <w:ind w:left="360"/>
        <w:rPr>
          <w:rFonts w:asciiTheme="majorHAnsi" w:hAnsiTheme="majorHAnsi" w:cs="Times New Roman"/>
        </w:rPr>
      </w:pPr>
      <w:r>
        <w:rPr>
          <w:rFonts w:asciiTheme="majorHAnsi" w:hAnsiTheme="majorHAnsi" w:cs="Times New Roman"/>
        </w:rPr>
        <w:t>See Appendix B for material:</w:t>
      </w:r>
      <w:r w:rsidR="00A40E84">
        <w:rPr>
          <w:rFonts w:asciiTheme="majorHAnsi" w:hAnsiTheme="majorHAnsi" w:cs="Times New Roman"/>
        </w:rPr>
        <w:t xml:space="preserve"> Draft Child &amp; Lactation Policy</w:t>
      </w:r>
      <w:r w:rsidRPr="001C22E2">
        <w:rPr>
          <w:rFonts w:asciiTheme="majorHAnsi" w:hAnsiTheme="majorHAnsi" w:cs="Times New Roman"/>
        </w:rPr>
        <w:t xml:space="preserve">            </w:t>
      </w:r>
    </w:p>
    <w:p w:rsidR="001C22E2" w:rsidRPr="00EC6B0E" w:rsidRDefault="00EC6B0E" w:rsidP="00A46406">
      <w:pPr>
        <w:spacing w:line="240" w:lineRule="auto"/>
        <w:contextualSpacing/>
        <w:rPr>
          <w:rFonts w:asciiTheme="majorHAnsi" w:hAnsiTheme="majorHAnsi" w:cs="Times New Roman"/>
          <w:i/>
          <w:u w:val="single"/>
        </w:rPr>
      </w:pPr>
      <w:r>
        <w:rPr>
          <w:rFonts w:asciiTheme="majorHAnsi" w:hAnsiTheme="majorHAnsi" w:cs="Times New Roman"/>
        </w:rPr>
        <w:t>Students met with Marian Harris, Professor in Social Work &amp; Criminal Justice and Faculty Affairs Committee chair,</w:t>
      </w:r>
      <w:r w:rsidR="00A46406">
        <w:rPr>
          <w:rFonts w:asciiTheme="majorHAnsi" w:hAnsiTheme="majorHAnsi" w:cs="Times New Roman"/>
        </w:rPr>
        <w:t xml:space="preserve"> asking her to consider several childcare issues that centered on bringing children/infants to class. Marian and the students wrote a policy that the SW &amp; CJ program adopted. Then, the Faculty Affairs Committee wrote also a similar policy</w:t>
      </w:r>
      <w:r w:rsidR="001C22E2" w:rsidRPr="00EC6B0E">
        <w:rPr>
          <w:rFonts w:asciiTheme="majorHAnsi" w:hAnsiTheme="majorHAnsi" w:cs="Times New Roman"/>
        </w:rPr>
        <w:t xml:space="preserve"> </w:t>
      </w:r>
      <w:r w:rsidR="00A46406">
        <w:rPr>
          <w:rFonts w:asciiTheme="majorHAnsi" w:hAnsiTheme="majorHAnsi" w:cs="Times New Roman"/>
        </w:rPr>
        <w:t xml:space="preserve">to be proposed as campus-wide. EC discussed the proposed policy, whether or not the children in class and lactation policy should be separated into two policies, various word choices, the informational importance of students checking with their instructors about bringing children to class, that this should be added into the list of syllabi statements, and the need for more lactation rooms available to faculty, staff, and students. Overall, there was consensus that these are needed policies, but also that they needed further editing. Marian agreed to revise them based on EC’s feedback and bring them back to EC for review and approval. </w:t>
      </w:r>
      <w:r w:rsidR="001C22E2" w:rsidRPr="00EC6B0E">
        <w:rPr>
          <w:rFonts w:asciiTheme="majorHAnsi" w:hAnsiTheme="majorHAnsi" w:cs="Times New Roman"/>
        </w:rPr>
        <w:t xml:space="preserve">                                                     </w:t>
      </w:r>
    </w:p>
    <w:p w:rsidR="001C22E2" w:rsidRPr="0002732E" w:rsidRDefault="001C22E2" w:rsidP="00A46406">
      <w:pPr>
        <w:pStyle w:val="ListParagraph"/>
        <w:numPr>
          <w:ilvl w:val="1"/>
          <w:numId w:val="1"/>
        </w:numPr>
        <w:spacing w:line="240" w:lineRule="auto"/>
        <w:rPr>
          <w:rFonts w:asciiTheme="majorHAnsi" w:hAnsiTheme="majorHAnsi" w:cs="Times New Roman"/>
          <w:i/>
          <w:u w:val="single"/>
        </w:rPr>
      </w:pPr>
      <w:r w:rsidRPr="001C22E2">
        <w:rPr>
          <w:rFonts w:asciiTheme="majorHAnsi" w:hAnsiTheme="majorHAnsi" w:cs="Times New Roman"/>
          <w:u w:val="single"/>
        </w:rPr>
        <w:t xml:space="preserve">Proposed Policy on Non-Competitive Faculty Appointments -  Marian Harris                  </w:t>
      </w:r>
    </w:p>
    <w:p w:rsidR="001C22E2" w:rsidRPr="00F21C7F" w:rsidRDefault="001C22E2" w:rsidP="00A46406">
      <w:pPr>
        <w:pStyle w:val="ListParagraph"/>
        <w:spacing w:line="240" w:lineRule="auto"/>
        <w:ind w:left="360"/>
        <w:rPr>
          <w:rFonts w:asciiTheme="majorHAnsi" w:hAnsiTheme="majorHAnsi" w:cs="Times New Roman"/>
          <w:i/>
          <w:u w:val="single"/>
        </w:rPr>
      </w:pPr>
      <w:r>
        <w:rPr>
          <w:rFonts w:asciiTheme="majorHAnsi" w:hAnsiTheme="majorHAnsi" w:cs="Times New Roman"/>
        </w:rPr>
        <w:t>EC did not get to this agenda item due to time constraints.</w:t>
      </w:r>
      <w:r w:rsidRPr="00F21C7F">
        <w:rPr>
          <w:rFonts w:asciiTheme="majorHAnsi" w:hAnsiTheme="majorHAnsi" w:cs="Times New Roman"/>
          <w:u w:val="single"/>
        </w:rPr>
        <w:t xml:space="preserve">                                       </w:t>
      </w:r>
    </w:p>
    <w:p w:rsidR="001C22E2" w:rsidRDefault="001C22E2"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A40E84" w:rsidRDefault="00A40E84" w:rsidP="001C22E2">
      <w:pPr>
        <w:pStyle w:val="ListParagraph"/>
        <w:spacing w:line="240" w:lineRule="auto"/>
        <w:ind w:left="540"/>
        <w:rPr>
          <w:rFonts w:asciiTheme="majorHAnsi" w:hAnsiTheme="majorHAnsi" w:cs="Times New Roman"/>
        </w:rPr>
      </w:pPr>
    </w:p>
    <w:p w:rsidR="009E5A06" w:rsidRPr="00A40E84" w:rsidRDefault="00A40E84">
      <w:pPr>
        <w:rPr>
          <w:b/>
          <w:u w:val="single"/>
        </w:rPr>
      </w:pPr>
      <w:r w:rsidRPr="00A40E84">
        <w:rPr>
          <w:b/>
          <w:u w:val="single"/>
        </w:rPr>
        <w:lastRenderedPageBreak/>
        <w:t>Appendix A</w:t>
      </w:r>
    </w:p>
    <w:p w:rsidR="00A40E84" w:rsidRPr="00A40E84" w:rsidRDefault="00A40E84" w:rsidP="00A40E84">
      <w:pPr>
        <w:spacing w:after="160" w:line="259" w:lineRule="auto"/>
        <w:rPr>
          <w:b/>
        </w:rPr>
      </w:pPr>
      <w:r w:rsidRPr="00A40E84">
        <w:rPr>
          <w:b/>
        </w:rPr>
        <w:t>UW Tacoma IT Accessibility Policy and Implementation Plan</w:t>
      </w:r>
    </w:p>
    <w:p w:rsidR="00A40E84" w:rsidRPr="00A40E84" w:rsidRDefault="00A40E84" w:rsidP="00A40E84">
      <w:pPr>
        <w:numPr>
          <w:ilvl w:val="0"/>
          <w:numId w:val="4"/>
        </w:numPr>
        <w:spacing w:after="160" w:line="259" w:lineRule="auto"/>
        <w:contextualSpacing/>
      </w:pPr>
      <w:r w:rsidRPr="00A40E84">
        <w:rPr>
          <w:noProof/>
        </w:rPr>
        <w:t>The university</w:t>
      </w:r>
      <w:r w:rsidRPr="00A40E84">
        <w:t xml:space="preserve"> of Washington Tacoma adopts the UW Policy on IT accessibility as follows:</w:t>
      </w:r>
    </w:p>
    <w:p w:rsidR="00A40E84" w:rsidRPr="00A40E84" w:rsidRDefault="00A40E84" w:rsidP="00A40E84">
      <w:pPr>
        <w:keepNext/>
        <w:keepLines/>
        <w:spacing w:before="240" w:after="0" w:line="259" w:lineRule="auto"/>
        <w:outlineLvl w:val="0"/>
        <w:rPr>
          <w:rFonts w:eastAsiaTheme="majorEastAsia" w:cstheme="majorBidi"/>
          <w:b/>
        </w:rPr>
      </w:pPr>
      <w:r w:rsidRPr="00A40E84">
        <w:rPr>
          <w:rFonts w:eastAsiaTheme="majorEastAsia" w:cstheme="majorBidi"/>
          <w:b/>
        </w:rPr>
        <w:t xml:space="preserve">UW Policy – </w:t>
      </w:r>
      <w:proofErr w:type="gramStart"/>
      <w:r w:rsidRPr="00A40E84">
        <w:rPr>
          <w:rFonts w:eastAsiaTheme="majorEastAsia" w:cstheme="majorBidi"/>
          <w:b/>
        </w:rPr>
        <w:t>IT</w:t>
      </w:r>
      <w:proofErr w:type="gramEnd"/>
      <w:r w:rsidRPr="00A40E84">
        <w:rPr>
          <w:rFonts w:eastAsiaTheme="majorEastAsia" w:cstheme="majorBidi"/>
          <w:b/>
        </w:rPr>
        <w:t xml:space="preserve"> Accessibility</w:t>
      </w:r>
    </w:p>
    <w:p w:rsidR="00A40E84" w:rsidRPr="00A40E84" w:rsidRDefault="00A40E84" w:rsidP="00A40E84">
      <w:pPr>
        <w:spacing w:before="100" w:beforeAutospacing="1" w:after="100" w:afterAutospacing="1" w:line="240" w:lineRule="auto"/>
        <w:rPr>
          <w:rFonts w:eastAsia="Times New Roman" w:cs="Times New Roman"/>
        </w:rPr>
      </w:pPr>
      <w:r w:rsidRPr="00A40E84">
        <w:rPr>
          <w:rFonts w:eastAsia="Times New Roman" w:cs="Times New Roman"/>
        </w:rPr>
        <w:t xml:space="preserve">The University </w:t>
      </w:r>
      <w:proofErr w:type="gramStart"/>
      <w:r w:rsidRPr="00A40E84">
        <w:rPr>
          <w:rFonts w:eastAsia="Times New Roman" w:cs="Times New Roman"/>
        </w:rPr>
        <w:t>of</w:t>
      </w:r>
      <w:proofErr w:type="gramEnd"/>
      <w:r w:rsidRPr="00A40E84">
        <w:rPr>
          <w:rFonts w:eastAsia="Times New Roman" w:cs="Times New Roman"/>
        </w:rPr>
        <w:t xml:space="preserve"> Washington (UW) strives to ensure that people with disabilities have access to the same services and content that are available to people without disabilities, including services and content made available through the use of information technology (IT).  IT procured, developed, maintained, and used by the UW should provide substantially similar functionality, experience, and information access to individuals with disabilities as it provides to others. Examples of IT covered by this policy include </w:t>
      </w:r>
      <w:r w:rsidRPr="00A40E84">
        <w:rPr>
          <w:rFonts w:eastAsia="Times New Roman" w:cs="Times New Roman"/>
          <w:noProof/>
        </w:rPr>
        <w:t>websites</w:t>
      </w:r>
      <w:r w:rsidRPr="00A40E84">
        <w:rPr>
          <w:rFonts w:eastAsia="Times New Roman" w:cs="Times New Roman"/>
        </w:rPr>
        <w:t>, software systems, electronic documents, videos, and electronic equipment such as information kiosks, telephones, and digital signs.</w:t>
      </w:r>
    </w:p>
    <w:p w:rsidR="00A40E84" w:rsidRPr="00A40E84" w:rsidRDefault="00A40E84" w:rsidP="00A40E84">
      <w:pPr>
        <w:spacing w:before="100" w:beforeAutospacing="1" w:after="100" w:afterAutospacing="1" w:line="240" w:lineRule="auto"/>
        <w:rPr>
          <w:rFonts w:eastAsia="Times New Roman" w:cs="Times New Roman"/>
        </w:rPr>
      </w:pPr>
      <w:r w:rsidRPr="00A40E84">
        <w:rPr>
          <w:rFonts w:eastAsia="Times New Roman" w:cs="Times New Roman"/>
        </w:rPr>
        <w:t>The policy aligns with:</w:t>
      </w:r>
    </w:p>
    <w:p w:rsidR="00A40E84" w:rsidRPr="00A40E84" w:rsidRDefault="00A40E84" w:rsidP="00A40E84">
      <w:pPr>
        <w:numPr>
          <w:ilvl w:val="0"/>
          <w:numId w:val="2"/>
        </w:numPr>
        <w:spacing w:before="100" w:beforeAutospacing="1" w:after="100" w:afterAutospacing="1" w:line="240" w:lineRule="auto"/>
      </w:pPr>
      <w:proofErr w:type="gramStart"/>
      <w:r w:rsidRPr="00A40E84">
        <w:t>the</w:t>
      </w:r>
      <w:proofErr w:type="gramEnd"/>
      <w:r w:rsidRPr="00A40E84">
        <w:t xml:space="preserve"> UW’s </w:t>
      </w:r>
      <w:hyperlink r:id="rId9" w:history="1">
        <w:r w:rsidRPr="00A40E84">
          <w:rPr>
            <w:color w:val="0000FF" w:themeColor="hyperlink"/>
            <w:u w:val="single"/>
          </w:rPr>
          <w:t>vision</w:t>
        </w:r>
      </w:hyperlink>
      <w:r w:rsidRPr="00A40E84">
        <w:t xml:space="preserve"> to educate a diverse student body and its </w:t>
      </w:r>
      <w:hyperlink r:id="rId10" w:history="1">
        <w:r w:rsidRPr="00A40E84">
          <w:rPr>
            <w:color w:val="0000FF" w:themeColor="hyperlink"/>
            <w:u w:val="single"/>
          </w:rPr>
          <w:t>values</w:t>
        </w:r>
      </w:hyperlink>
      <w:r w:rsidRPr="00A40E84">
        <w:t xml:space="preserve"> of diversity, excellence, collaboration, </w:t>
      </w:r>
      <w:r w:rsidRPr="00A40E84">
        <w:rPr>
          <w:noProof/>
        </w:rPr>
        <w:t>innovation,</w:t>
      </w:r>
      <w:r w:rsidRPr="00A40E84">
        <w:t xml:space="preserve"> and respect.</w:t>
      </w:r>
    </w:p>
    <w:p w:rsidR="00A40E84" w:rsidRPr="00A40E84" w:rsidRDefault="00A40E84" w:rsidP="00A40E84">
      <w:pPr>
        <w:numPr>
          <w:ilvl w:val="0"/>
          <w:numId w:val="2"/>
        </w:numPr>
        <w:spacing w:before="100" w:beforeAutospacing="1" w:after="100" w:afterAutospacing="1" w:line="240" w:lineRule="auto"/>
      </w:pPr>
      <w:proofErr w:type="gramStart"/>
      <w:r w:rsidRPr="00A40E84">
        <w:t>the</w:t>
      </w:r>
      <w:proofErr w:type="gramEnd"/>
      <w:r w:rsidRPr="00A40E84">
        <w:t xml:space="preserve"> UW’s obligations under </w:t>
      </w:r>
      <w:hyperlink r:id="rId11" w:history="1">
        <w:r w:rsidRPr="00A40E84">
          <w:rPr>
            <w:color w:val="0000FF" w:themeColor="hyperlink"/>
            <w:u w:val="single"/>
          </w:rPr>
          <w:t>Section 504 of the Rehabilitation Act of 1973</w:t>
        </w:r>
      </w:hyperlink>
      <w:r w:rsidRPr="00A40E84">
        <w:t>.</w:t>
      </w:r>
    </w:p>
    <w:p w:rsidR="00A40E84" w:rsidRPr="00A40E84" w:rsidRDefault="00A40E84" w:rsidP="00A40E84">
      <w:pPr>
        <w:numPr>
          <w:ilvl w:val="0"/>
          <w:numId w:val="2"/>
        </w:numPr>
        <w:spacing w:before="100" w:beforeAutospacing="1" w:after="100" w:afterAutospacing="1" w:line="240" w:lineRule="auto"/>
      </w:pPr>
      <w:proofErr w:type="gramStart"/>
      <w:r w:rsidRPr="00A40E84">
        <w:t>the</w:t>
      </w:r>
      <w:proofErr w:type="gramEnd"/>
      <w:r w:rsidRPr="00A40E84">
        <w:t xml:space="preserve"> </w:t>
      </w:r>
      <w:hyperlink r:id="rId12" w:history="1">
        <w:r w:rsidRPr="00A40E84">
          <w:rPr>
            <w:color w:val="0000FF" w:themeColor="hyperlink"/>
            <w:u w:val="single"/>
          </w:rPr>
          <w:t>Americans with Disability Act of 1990 together with its 2008 Amendments</w:t>
        </w:r>
      </w:hyperlink>
      <w:r w:rsidRPr="00A40E84">
        <w:t>.</w:t>
      </w:r>
    </w:p>
    <w:p w:rsidR="00A40E84" w:rsidRPr="00A40E84" w:rsidRDefault="00327B29" w:rsidP="00A40E84">
      <w:pPr>
        <w:numPr>
          <w:ilvl w:val="0"/>
          <w:numId w:val="2"/>
        </w:numPr>
        <w:spacing w:before="100" w:beforeAutospacing="1" w:after="100" w:afterAutospacing="1" w:line="240" w:lineRule="auto"/>
      </w:pPr>
      <w:hyperlink r:id="rId13" w:history="1">
        <w:r w:rsidR="00A40E84" w:rsidRPr="00A40E84">
          <w:rPr>
            <w:color w:val="0000FF" w:themeColor="hyperlink"/>
            <w:u w:val="single"/>
          </w:rPr>
          <w:t>Washington State Policy #188 – Accessibility</w:t>
        </w:r>
      </w:hyperlink>
      <w:r w:rsidR="00A40E84" w:rsidRPr="00A40E84">
        <w:t>.</w:t>
      </w:r>
    </w:p>
    <w:p w:rsidR="00A40E84" w:rsidRPr="00A40E84" w:rsidRDefault="00327B29" w:rsidP="00A40E84">
      <w:pPr>
        <w:numPr>
          <w:ilvl w:val="0"/>
          <w:numId w:val="2"/>
        </w:numPr>
        <w:spacing w:before="100" w:beforeAutospacing="1" w:after="100" w:afterAutospacing="1" w:line="240" w:lineRule="auto"/>
      </w:pPr>
      <w:hyperlink r:id="rId14" w:history="1">
        <w:r w:rsidR="00A40E84" w:rsidRPr="00A40E84">
          <w:rPr>
            <w:color w:val="0000FF" w:themeColor="hyperlink"/>
            <w:u w:val="single"/>
          </w:rPr>
          <w:t>UW Administrative Policy Statement 2.3</w:t>
        </w:r>
      </w:hyperlink>
      <w:r w:rsidR="00A40E84" w:rsidRPr="00A40E84">
        <w:t xml:space="preserve"> – Information Technology, Telecommunications and Networking </w:t>
      </w:r>
      <w:r w:rsidR="00A40E84" w:rsidRPr="00A40E84">
        <w:rPr>
          <w:noProof/>
        </w:rPr>
        <w:t>Projects,</w:t>
      </w:r>
      <w:r w:rsidR="00A40E84" w:rsidRPr="00A40E84">
        <w:t xml:space="preserve"> and Acquisitions.</w:t>
      </w:r>
    </w:p>
    <w:p w:rsidR="00A40E84" w:rsidRPr="00A40E84" w:rsidRDefault="00A40E84" w:rsidP="00A40E84">
      <w:pPr>
        <w:spacing w:before="100" w:beforeAutospacing="1" w:after="100" w:afterAutospacing="1" w:line="240" w:lineRule="auto"/>
        <w:rPr>
          <w:rFonts w:eastAsia="Times New Roman" w:cs="Times New Roman"/>
        </w:rPr>
      </w:pPr>
      <w:r w:rsidRPr="00A40E84">
        <w:rPr>
          <w:rFonts w:eastAsia="Times New Roman" w:cs="Times New Roman"/>
        </w:rPr>
        <w:t>Resources that can help individuals and UW units understand and meet their obligations under this policy include:</w:t>
      </w:r>
    </w:p>
    <w:p w:rsidR="00A40E84" w:rsidRPr="00A40E84" w:rsidRDefault="00327B29" w:rsidP="00A40E84">
      <w:pPr>
        <w:numPr>
          <w:ilvl w:val="0"/>
          <w:numId w:val="3"/>
        </w:numPr>
        <w:spacing w:before="100" w:beforeAutospacing="1" w:after="100" w:afterAutospacing="1" w:line="240" w:lineRule="auto"/>
      </w:pPr>
      <w:hyperlink r:id="rId15" w:history="1">
        <w:r w:rsidR="00A40E84" w:rsidRPr="00A40E84">
          <w:rPr>
            <w:color w:val="0000FF" w:themeColor="hyperlink"/>
            <w:u w:val="single"/>
          </w:rPr>
          <w:t>IT Accessibility Guidelines</w:t>
        </w:r>
      </w:hyperlink>
    </w:p>
    <w:p w:rsidR="00A40E84" w:rsidRPr="00A40E84" w:rsidRDefault="00327B29" w:rsidP="00A40E84">
      <w:pPr>
        <w:numPr>
          <w:ilvl w:val="0"/>
          <w:numId w:val="3"/>
        </w:numPr>
        <w:spacing w:before="100" w:beforeAutospacing="1" w:after="100" w:afterAutospacing="1" w:line="240" w:lineRule="auto"/>
      </w:pPr>
      <w:hyperlink r:id="rId16" w:history="1">
        <w:r w:rsidR="00A40E84" w:rsidRPr="00A40E84">
          <w:rPr>
            <w:color w:val="0000FF" w:themeColor="hyperlink"/>
            <w:u w:val="single"/>
          </w:rPr>
          <w:t>IT Accessibility Checklist</w:t>
        </w:r>
      </w:hyperlink>
    </w:p>
    <w:p w:rsidR="00A40E84" w:rsidRPr="00A40E84" w:rsidRDefault="00327B29" w:rsidP="00A40E84">
      <w:pPr>
        <w:numPr>
          <w:ilvl w:val="0"/>
          <w:numId w:val="3"/>
        </w:numPr>
        <w:spacing w:before="100" w:beforeAutospacing="1" w:after="100" w:afterAutospacing="1" w:line="240" w:lineRule="auto"/>
      </w:pPr>
      <w:hyperlink r:id="rId17" w:history="1">
        <w:r w:rsidR="00A40E84" w:rsidRPr="00A40E84">
          <w:rPr>
            <w:color w:val="0000FF" w:themeColor="hyperlink"/>
            <w:u w:val="single"/>
          </w:rPr>
          <w:t>Accessible Technology at the UW</w:t>
        </w:r>
      </w:hyperlink>
    </w:p>
    <w:p w:rsidR="00A40E84" w:rsidRPr="00A40E84" w:rsidRDefault="00A40E84" w:rsidP="00A40E84">
      <w:pPr>
        <w:numPr>
          <w:ilvl w:val="0"/>
          <w:numId w:val="4"/>
        </w:numPr>
        <w:spacing w:after="0" w:line="259" w:lineRule="auto"/>
        <w:contextualSpacing/>
        <w:rPr>
          <w:b/>
          <w:color w:val="000000" w:themeColor="text1"/>
        </w:rPr>
      </w:pPr>
      <w:r w:rsidRPr="00A40E84">
        <w:rPr>
          <w:b/>
          <w:color w:val="000000" w:themeColor="text1"/>
        </w:rPr>
        <w:t>UW Tacoma Accessibility Implementation Plan</w:t>
      </w:r>
    </w:p>
    <w:p w:rsidR="00A40E84" w:rsidRPr="00A40E84" w:rsidRDefault="00A40E84" w:rsidP="00A46406">
      <w:pPr>
        <w:spacing w:after="0" w:line="259" w:lineRule="auto"/>
        <w:ind w:left="360"/>
        <w:contextualSpacing/>
        <w:rPr>
          <w:color w:val="000000" w:themeColor="text1"/>
        </w:rPr>
      </w:pPr>
      <w:r w:rsidRPr="00A40E84">
        <w:rPr>
          <w:color w:val="000000" w:themeColor="text1"/>
        </w:rPr>
        <w:t>Based on the WA Policy #188, all state agencies must provide accessible content for the public and all state employees.  UW Tacoma will implement the following:</w:t>
      </w:r>
    </w:p>
    <w:p w:rsidR="00A40E84" w:rsidRPr="00A46406" w:rsidRDefault="00A40E84" w:rsidP="00A40E84">
      <w:pPr>
        <w:numPr>
          <w:ilvl w:val="1"/>
          <w:numId w:val="5"/>
        </w:numPr>
        <w:spacing w:before="100" w:beforeAutospacing="1" w:after="0" w:afterAutospacing="1" w:line="259" w:lineRule="auto"/>
        <w:ind w:left="360"/>
        <w:contextualSpacing/>
        <w:rPr>
          <w:color w:val="000000" w:themeColor="text1"/>
        </w:rPr>
      </w:pPr>
      <w:r w:rsidRPr="00A40E84">
        <w:rPr>
          <w:color w:val="000000" w:themeColor="text1"/>
        </w:rPr>
        <w:t xml:space="preserve">IT will monitor all the critical areas already in compliance, including The UW Tacoma web content, Library e-reserve materials and Canvas learning management system. </w:t>
      </w:r>
    </w:p>
    <w:p w:rsidR="00A40E84" w:rsidRPr="00A46406" w:rsidRDefault="00A40E84" w:rsidP="00A46406">
      <w:pPr>
        <w:numPr>
          <w:ilvl w:val="1"/>
          <w:numId w:val="5"/>
        </w:numPr>
        <w:spacing w:after="0" w:line="259" w:lineRule="auto"/>
        <w:ind w:left="360"/>
        <w:contextualSpacing/>
        <w:rPr>
          <w:color w:val="000000" w:themeColor="text1"/>
        </w:rPr>
      </w:pPr>
      <w:r w:rsidRPr="00A40E84">
        <w:rPr>
          <w:color w:val="000000" w:themeColor="text1"/>
        </w:rPr>
        <w:t>IT will work with UW Seattle Accessibility Services (ATS) / UW-IT and the various units on the UW Tacoma campus including Disability Support Services, Academic Assembly, Academic HR, Academic Technologies, Human Resources, Library and all the Unit Heads to provide faculty and staff with online and on-campus training, software and hardware resources to create and convert accessible content.</w:t>
      </w:r>
    </w:p>
    <w:p w:rsidR="00A40E84" w:rsidRPr="00A46406" w:rsidRDefault="00A40E84" w:rsidP="00A46406">
      <w:pPr>
        <w:numPr>
          <w:ilvl w:val="1"/>
          <w:numId w:val="5"/>
        </w:numPr>
        <w:spacing w:after="0" w:line="259" w:lineRule="auto"/>
        <w:ind w:left="360"/>
        <w:contextualSpacing/>
        <w:rPr>
          <w:color w:val="000000" w:themeColor="text1"/>
        </w:rPr>
      </w:pPr>
      <w:r w:rsidRPr="00A40E84">
        <w:rPr>
          <w:color w:val="000000" w:themeColor="text1"/>
        </w:rPr>
        <w:t xml:space="preserve">SIAS Faculty will make an effort to submit accessible files for promotion and tenure. </w:t>
      </w:r>
    </w:p>
    <w:p w:rsidR="00A40E84" w:rsidRPr="00A46406" w:rsidRDefault="00A40E84" w:rsidP="00A46406">
      <w:pPr>
        <w:numPr>
          <w:ilvl w:val="1"/>
          <w:numId w:val="5"/>
        </w:numPr>
        <w:spacing w:before="100" w:beforeAutospacing="1" w:after="100" w:afterAutospacing="1" w:line="259" w:lineRule="auto"/>
        <w:ind w:left="360"/>
        <w:contextualSpacing/>
        <w:rPr>
          <w:color w:val="000000" w:themeColor="text1"/>
        </w:rPr>
      </w:pPr>
      <w:r w:rsidRPr="00A40E84">
        <w:rPr>
          <w:color w:val="000000" w:themeColor="text1"/>
        </w:rPr>
        <w:t xml:space="preserve">Recruiting new faculty for SIAS, the position description will include: “submit </w:t>
      </w:r>
      <w:r w:rsidRPr="00A40E84">
        <w:rPr>
          <w:noProof/>
          <w:color w:val="000000" w:themeColor="text1"/>
        </w:rPr>
        <w:t>accessible</w:t>
      </w:r>
      <w:r w:rsidRPr="00A40E84">
        <w:rPr>
          <w:color w:val="000000" w:themeColor="text1"/>
        </w:rPr>
        <w:t xml:space="preserve"> content is desirable.”</w:t>
      </w:r>
    </w:p>
    <w:p w:rsidR="00A40E84" w:rsidRPr="00A46406" w:rsidRDefault="00A40E84" w:rsidP="00A46406">
      <w:pPr>
        <w:numPr>
          <w:ilvl w:val="1"/>
          <w:numId w:val="5"/>
        </w:numPr>
        <w:spacing w:before="100" w:beforeAutospacing="1" w:after="100" w:afterAutospacing="1" w:line="259" w:lineRule="auto"/>
        <w:ind w:left="360"/>
        <w:contextualSpacing/>
        <w:rPr>
          <w:color w:val="000000" w:themeColor="text1"/>
        </w:rPr>
      </w:pPr>
      <w:r w:rsidRPr="00A40E84">
        <w:rPr>
          <w:color w:val="000000" w:themeColor="text1"/>
        </w:rPr>
        <w:t>IT will provide the following services: (a) Check and convert any data files to accessible format when necessary; (b) provide in-house transcription and coordinate the use of external services for video closed-captions.</w:t>
      </w:r>
    </w:p>
    <w:p w:rsidR="00A40E84" w:rsidRDefault="00A40E84" w:rsidP="00A40E84">
      <w:pPr>
        <w:numPr>
          <w:ilvl w:val="1"/>
          <w:numId w:val="5"/>
        </w:numPr>
        <w:spacing w:before="100" w:beforeAutospacing="1" w:after="100" w:afterAutospacing="1" w:line="259" w:lineRule="auto"/>
        <w:ind w:left="360"/>
        <w:contextualSpacing/>
        <w:rPr>
          <w:color w:val="000000" w:themeColor="text1"/>
        </w:rPr>
      </w:pPr>
      <w:r w:rsidRPr="00A40E84">
        <w:rPr>
          <w:color w:val="000000" w:themeColor="text1"/>
        </w:rPr>
        <w:t xml:space="preserve"> The Chancellor and Vice Chancellors are executive sponsors for Information Technology to work with all the WU Tacoma Unit Heads to implement the new IT Accessibility Plan on our campus as outlined below:</w:t>
      </w:r>
    </w:p>
    <w:p w:rsidR="00A46406" w:rsidRDefault="00A46406" w:rsidP="00A46406">
      <w:pPr>
        <w:spacing w:before="100" w:beforeAutospacing="1" w:after="100" w:afterAutospacing="1" w:line="259" w:lineRule="auto"/>
        <w:contextualSpacing/>
        <w:rPr>
          <w:color w:val="000000" w:themeColor="text1"/>
        </w:rPr>
      </w:pPr>
    </w:p>
    <w:p w:rsidR="00A46406" w:rsidRDefault="00A46406" w:rsidP="00A46406">
      <w:pPr>
        <w:spacing w:before="100" w:beforeAutospacing="1" w:after="100" w:afterAutospacing="1" w:line="259" w:lineRule="auto"/>
        <w:contextualSpacing/>
        <w:rPr>
          <w:color w:val="000000" w:themeColor="text1"/>
        </w:rPr>
      </w:pPr>
    </w:p>
    <w:p w:rsidR="00A46406" w:rsidRDefault="00A46406" w:rsidP="00A46406">
      <w:pPr>
        <w:spacing w:before="100" w:beforeAutospacing="1" w:after="100" w:afterAutospacing="1" w:line="259" w:lineRule="auto"/>
        <w:contextualSpacing/>
        <w:rPr>
          <w:color w:val="000000" w:themeColor="text1"/>
        </w:rPr>
      </w:pPr>
    </w:p>
    <w:p w:rsidR="00A46406" w:rsidRPr="00A40E84" w:rsidRDefault="00A46406" w:rsidP="00A46406">
      <w:pPr>
        <w:spacing w:before="100" w:beforeAutospacing="1" w:after="100" w:afterAutospacing="1" w:line="259" w:lineRule="auto"/>
        <w:contextualSpacing/>
        <w:rPr>
          <w:color w:val="000000" w:themeColor="text1"/>
        </w:rPr>
      </w:pPr>
    </w:p>
    <w:tbl>
      <w:tblPr>
        <w:tblStyle w:val="TableGrid"/>
        <w:tblW w:w="10170" w:type="dxa"/>
        <w:tblInd w:w="652" w:type="dxa"/>
        <w:tblLook w:val="04A0" w:firstRow="1" w:lastRow="0" w:firstColumn="1" w:lastColumn="0" w:noHBand="0" w:noVBand="1"/>
        <w:tblCaption w:val="Table of the Responsible Unit to Implement the IT -Accessibility Plan "/>
        <w:tblDescription w:val="This table includes the functions of each unit with the Executive Sponsors and Unit Heads to implement the plan"/>
      </w:tblPr>
      <w:tblGrid>
        <w:gridCol w:w="2883"/>
        <w:gridCol w:w="2967"/>
        <w:gridCol w:w="4320"/>
      </w:tblGrid>
      <w:tr w:rsidR="00A40E84" w:rsidRPr="00A40E84" w:rsidTr="00A46406">
        <w:trPr>
          <w:trHeight w:val="404"/>
          <w:tblHeader/>
        </w:trPr>
        <w:tc>
          <w:tcPr>
            <w:tcW w:w="2883" w:type="dxa"/>
          </w:tcPr>
          <w:p w:rsidR="00A40E84" w:rsidRPr="00A40E84" w:rsidRDefault="00A40E84" w:rsidP="00A40E84">
            <w:pPr>
              <w:spacing w:before="100" w:beforeAutospacing="1" w:after="100" w:afterAutospacing="1" w:line="259" w:lineRule="auto"/>
              <w:rPr>
                <w:b/>
                <w:color w:val="000000" w:themeColor="text1"/>
              </w:rPr>
            </w:pPr>
            <w:bookmarkStart w:id="0" w:name="_GoBack"/>
            <w:bookmarkEnd w:id="0"/>
            <w:r w:rsidRPr="00A40E84">
              <w:rPr>
                <w:b/>
                <w:color w:val="000000" w:themeColor="text1"/>
              </w:rPr>
              <w:lastRenderedPageBreak/>
              <w:t>Functions</w:t>
            </w:r>
          </w:p>
        </w:tc>
        <w:tc>
          <w:tcPr>
            <w:tcW w:w="2967" w:type="dxa"/>
          </w:tcPr>
          <w:p w:rsidR="00A40E84" w:rsidRPr="00A40E84" w:rsidRDefault="00A40E84" w:rsidP="00A40E84">
            <w:pPr>
              <w:spacing w:before="100" w:beforeAutospacing="1" w:after="100" w:afterAutospacing="1" w:line="259" w:lineRule="auto"/>
              <w:rPr>
                <w:b/>
                <w:color w:val="000000" w:themeColor="text1"/>
              </w:rPr>
            </w:pPr>
            <w:r w:rsidRPr="00A40E84">
              <w:rPr>
                <w:b/>
                <w:color w:val="000000" w:themeColor="text1"/>
              </w:rPr>
              <w:t>Executive Sponsor</w:t>
            </w:r>
          </w:p>
        </w:tc>
        <w:tc>
          <w:tcPr>
            <w:tcW w:w="4320" w:type="dxa"/>
          </w:tcPr>
          <w:p w:rsidR="00A40E84" w:rsidRPr="00A40E84" w:rsidRDefault="00A40E84" w:rsidP="00A40E84">
            <w:pPr>
              <w:spacing w:before="100" w:beforeAutospacing="1" w:after="100" w:afterAutospacing="1" w:line="259" w:lineRule="auto"/>
              <w:rPr>
                <w:b/>
                <w:color w:val="000000" w:themeColor="text1"/>
              </w:rPr>
            </w:pPr>
            <w:r w:rsidRPr="00A40E84">
              <w:rPr>
                <w:b/>
                <w:color w:val="000000" w:themeColor="text1"/>
              </w:rPr>
              <w:t>Responsible Unit Head</w:t>
            </w:r>
          </w:p>
        </w:tc>
      </w:tr>
      <w:tr w:rsidR="00A40E84" w:rsidRPr="00A40E84" w:rsidTr="00A46406">
        <w:trPr>
          <w:trHeight w:val="404"/>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The Overall IT Accessibility Implementation Plan for UW Tacoma</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Chancellor’s Cabinet;  Campus Technology Committee (CTC);  Faculty Assembly Executive Council</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Vice Chancellor for Information Technology (as IT Accessibility Coordinator for UW Tacoma)</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Course content, including learning management system </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EVC Academic Affairs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Deans and Directors, Schools and Academic Programs</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Web sites of research centers </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EVC Academic Affairs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Associate VC for Research;  Directors of Research Centers </w:t>
            </w:r>
          </w:p>
        </w:tc>
      </w:tr>
      <w:tr w:rsidR="00A40E84" w:rsidRPr="00A40E84" w:rsidTr="00A46406">
        <w:trPr>
          <w:trHeight w:val="350"/>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Library materials</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EVC Academic Affairs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Director of the UW Tacoma Library</w:t>
            </w:r>
          </w:p>
        </w:tc>
      </w:tr>
      <w:tr w:rsidR="00A40E84" w:rsidRPr="00A40E84" w:rsidTr="00A46406">
        <w:trPr>
          <w:trHeight w:val="512"/>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TLC</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EVC Academic Affairs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Director of Writing Center;   Associate Director, Quantitative Center </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Academic Advising</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EVC Academic Affairs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Director of Academic Advising;  Advisors in Schools and Academic Programs</w:t>
            </w:r>
          </w:p>
        </w:tc>
      </w:tr>
      <w:tr w:rsidR="00A40E84" w:rsidRPr="00A40E84" w:rsidTr="00A46406">
        <w:trPr>
          <w:trHeight w:val="485"/>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Top Level Campus Web Content, including Closed Captioning Videos</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VC Advancement;  VC IT </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Director of Marketing &amp; Creative Services; Multimedia Production Supervisor</w:t>
            </w:r>
          </w:p>
        </w:tc>
      </w:tr>
      <w:tr w:rsidR="00A40E84" w:rsidRPr="00A40E84" w:rsidTr="00A46406">
        <w:trPr>
          <w:trHeight w:val="620"/>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All UW Tacoma Web Pages</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VC  Advancement;  VC IT </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Director of Marketing &amp; Creative Services; Manager of Web and Data Services</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IT Procurement</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VC Finance &amp; Administration;  VC IT</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Senior Contracts Manager;  Associate Director IT</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Recruitment</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EVC Academic Affairs;  VC Finance &amp; Administration</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Director of Academic HR;  Associate VC for Organizational Effectiveness &amp;  Development</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Admissions and Registration</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VC  SAES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Associate Director, Admissions Operations; Registrar </w:t>
            </w:r>
          </w:p>
        </w:tc>
      </w:tr>
      <w:tr w:rsidR="00A40E84" w:rsidRPr="00A40E84" w:rsidTr="00A46406">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Disability Resources for Students</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VC SAES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Dean of Student Success; Disability Support Services Program Coordinator</w:t>
            </w:r>
          </w:p>
        </w:tc>
      </w:tr>
      <w:tr w:rsidR="00A40E84" w:rsidRPr="00A40E84" w:rsidTr="00A46406">
        <w:trPr>
          <w:trHeight w:val="422"/>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Equity and Inclusion</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Chancellor</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Assistant Chancellor for Equity and Inclusion</w:t>
            </w:r>
          </w:p>
        </w:tc>
      </w:tr>
      <w:tr w:rsidR="00A40E84" w:rsidRPr="00A40E84" w:rsidTr="00A46406">
        <w:trPr>
          <w:trHeight w:val="377"/>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IT Operation</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VC IT</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Associate Directors of IT;   Managers of IT</w:t>
            </w:r>
          </w:p>
        </w:tc>
      </w:tr>
      <w:tr w:rsidR="00A40E84" w:rsidRPr="00A40E84" w:rsidTr="00A46406">
        <w:trPr>
          <w:trHeight w:val="512"/>
        </w:trPr>
        <w:tc>
          <w:tcPr>
            <w:tcW w:w="2883"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 xml:space="preserve">Digital Signage </w:t>
            </w:r>
            <w:r w:rsidRPr="00A40E84">
              <w:rPr>
                <w:noProof/>
                <w:color w:val="000000" w:themeColor="text1"/>
              </w:rPr>
              <w:t>Board/student</w:t>
            </w:r>
            <w:r w:rsidRPr="00A40E84">
              <w:rPr>
                <w:color w:val="000000" w:themeColor="text1"/>
              </w:rPr>
              <w:t xml:space="preserve"> messaging systems</w:t>
            </w:r>
          </w:p>
        </w:tc>
        <w:tc>
          <w:tcPr>
            <w:tcW w:w="2967"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VC SAES</w:t>
            </w:r>
          </w:p>
        </w:tc>
        <w:tc>
          <w:tcPr>
            <w:tcW w:w="4320" w:type="dxa"/>
          </w:tcPr>
          <w:p w:rsidR="00A40E84" w:rsidRPr="00A40E84" w:rsidRDefault="00A40E84" w:rsidP="00A40E84">
            <w:pPr>
              <w:spacing w:before="100" w:beforeAutospacing="1" w:after="100" w:afterAutospacing="1" w:line="259" w:lineRule="auto"/>
              <w:rPr>
                <w:color w:val="000000" w:themeColor="text1"/>
              </w:rPr>
            </w:pPr>
            <w:r w:rsidRPr="00A40E84">
              <w:rPr>
                <w:color w:val="000000" w:themeColor="text1"/>
              </w:rPr>
              <w:t>Dean of Student Engagement</w:t>
            </w:r>
          </w:p>
        </w:tc>
      </w:tr>
    </w:tbl>
    <w:p w:rsidR="00A40E84" w:rsidRPr="00A40E84" w:rsidRDefault="00A40E84">
      <w:pPr>
        <w:rPr>
          <w:b/>
          <w:u w:val="single"/>
        </w:rPr>
      </w:pPr>
      <w:r w:rsidRPr="00A40E84">
        <w:rPr>
          <w:b/>
          <w:u w:val="single"/>
        </w:rPr>
        <w:t>Appendix B</w:t>
      </w:r>
    </w:p>
    <w:p w:rsidR="00A40E84" w:rsidRPr="00A46406" w:rsidRDefault="00A40E84" w:rsidP="00A40E84">
      <w:pPr>
        <w:spacing w:line="240" w:lineRule="auto"/>
        <w:contextualSpacing/>
        <w:rPr>
          <w:rFonts w:cs="Times New Roman"/>
          <w:u w:val="single"/>
        </w:rPr>
      </w:pPr>
      <w:r w:rsidRPr="00A46406">
        <w:rPr>
          <w:rFonts w:cs="Times New Roman"/>
          <w:u w:val="single"/>
        </w:rPr>
        <w:t>Draft Child and Lactation Policy</w:t>
      </w:r>
    </w:p>
    <w:p w:rsidR="00A40E84" w:rsidRPr="00A46406" w:rsidRDefault="00A40E84" w:rsidP="00A40E84">
      <w:pPr>
        <w:spacing w:line="240" w:lineRule="auto"/>
        <w:contextualSpacing/>
        <w:rPr>
          <w:rFonts w:cs="Times New Roman"/>
        </w:rPr>
      </w:pPr>
      <w:r w:rsidRPr="00A46406">
        <w:rPr>
          <w:rFonts w:cs="Times New Roman"/>
        </w:rPr>
        <w:t xml:space="preserve">While we recognize that many students have childcare needs, we ask that you make every effort not to bring young children to class.  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w:t>
      </w:r>
    </w:p>
    <w:p w:rsidR="00A40E84" w:rsidRPr="00A46406" w:rsidRDefault="00A40E84" w:rsidP="00A40E84">
      <w:pPr>
        <w:spacing w:line="240" w:lineRule="auto"/>
        <w:contextualSpacing/>
        <w:rPr>
          <w:rFonts w:cs="Times New Roman"/>
        </w:rPr>
      </w:pPr>
    </w:p>
    <w:p w:rsidR="00A40E84" w:rsidRPr="00A46406" w:rsidRDefault="00A40E84" w:rsidP="00A40E84">
      <w:pPr>
        <w:spacing w:line="240" w:lineRule="auto"/>
        <w:contextualSpacing/>
        <w:rPr>
          <w:rFonts w:cs="Times New Roman"/>
        </w:rPr>
      </w:pPr>
      <w:r w:rsidRPr="00A46406">
        <w:rPr>
          <w:rFonts w:cs="Times New Roman"/>
        </w:rPr>
        <w:t xml:space="preserve">If you are breastfeeding an infant, you may bring an infant to class for this purpose, and do not require permission from the instructor, though it is best practice to discuss it with the instructor beforehand. There are some classes where it may not be safe for an infant to be present, and in those cases an instructor may restrict an infant from being present in class. </w:t>
      </w:r>
    </w:p>
    <w:p w:rsidR="00A40E84" w:rsidRPr="00A46406" w:rsidRDefault="00A40E84" w:rsidP="00A40E84">
      <w:pPr>
        <w:spacing w:line="240" w:lineRule="auto"/>
        <w:contextualSpacing/>
        <w:rPr>
          <w:rFonts w:cs="Times New Roman"/>
        </w:rPr>
      </w:pPr>
    </w:p>
    <w:p w:rsidR="00A40E84" w:rsidRPr="00A46406" w:rsidRDefault="00A40E84" w:rsidP="00A46406">
      <w:pPr>
        <w:spacing w:line="240" w:lineRule="auto"/>
        <w:contextualSpacing/>
        <w:rPr>
          <w:rFonts w:cs="Times New Roman"/>
        </w:rPr>
      </w:pPr>
      <w:r w:rsidRPr="00A46406">
        <w:rPr>
          <w:rFonts w:cs="Times New Roman"/>
        </w:rPr>
        <w:t>If you need to express breast milk during class, or you would prefer to breastfeed outside of class, you may take time out of class to use the campus lactation room (GWP 410). You do not need permission from the instructor to do so, but it is best practice to let your professor know ahead of time that you will need to leave class for this period of time.</w:t>
      </w:r>
    </w:p>
    <w:sectPr w:rsidR="00A40E84" w:rsidRPr="00A46406" w:rsidSect="007A3A61">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406" w:rsidRDefault="00A46406" w:rsidP="00A46406">
      <w:pPr>
        <w:spacing w:after="0" w:line="240" w:lineRule="auto"/>
      </w:pPr>
      <w:r>
        <w:separator/>
      </w:r>
    </w:p>
  </w:endnote>
  <w:endnote w:type="continuationSeparator" w:id="0">
    <w:p w:rsidR="00A46406" w:rsidRDefault="00A46406" w:rsidP="00A4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045613"/>
      <w:docPartObj>
        <w:docPartGallery w:val="Page Numbers (Bottom of Page)"/>
        <w:docPartUnique/>
      </w:docPartObj>
    </w:sdtPr>
    <w:sdtEndPr>
      <w:rPr>
        <w:noProof/>
      </w:rPr>
    </w:sdtEndPr>
    <w:sdtContent>
      <w:p w:rsidR="00A46406" w:rsidRDefault="00A4640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46406" w:rsidRDefault="00A46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406" w:rsidRDefault="00A46406" w:rsidP="00A46406">
      <w:pPr>
        <w:spacing w:after="0" w:line="240" w:lineRule="auto"/>
      </w:pPr>
      <w:r>
        <w:separator/>
      </w:r>
    </w:p>
  </w:footnote>
  <w:footnote w:type="continuationSeparator" w:id="0">
    <w:p w:rsidR="00A46406" w:rsidRDefault="00A46406" w:rsidP="00A46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0E77E0"/>
    <w:multiLevelType w:val="multilevel"/>
    <w:tmpl w:val="18ACDB44"/>
    <w:lvl w:ilvl="0">
      <w:start w:val="1"/>
      <w:numFmt w:val="upperLetter"/>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374B69C6"/>
    <w:multiLevelType w:val="hybridMultilevel"/>
    <w:tmpl w:val="EEEC54FA"/>
    <w:lvl w:ilvl="0" w:tplc="333E2E4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036E60"/>
    <w:multiLevelType w:val="multilevel"/>
    <w:tmpl w:val="56740E9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gt;"/>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B539C"/>
    <w:multiLevelType w:val="multilevel"/>
    <w:tmpl w:val="79C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E2"/>
    <w:rsid w:val="001C22E2"/>
    <w:rsid w:val="002C5C5C"/>
    <w:rsid w:val="007A6FE1"/>
    <w:rsid w:val="00831C9F"/>
    <w:rsid w:val="009E5A06"/>
    <w:rsid w:val="00A40E84"/>
    <w:rsid w:val="00A46406"/>
    <w:rsid w:val="00A52F73"/>
    <w:rsid w:val="00CC5478"/>
    <w:rsid w:val="00EC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2E2"/>
    <w:pPr>
      <w:ind w:left="720"/>
      <w:contextualSpacing/>
    </w:pPr>
  </w:style>
  <w:style w:type="character" w:styleId="Hyperlink">
    <w:name w:val="Hyperlink"/>
    <w:basedOn w:val="DefaultParagraphFont"/>
    <w:uiPriority w:val="99"/>
    <w:unhideWhenUsed/>
    <w:rsid w:val="001C22E2"/>
    <w:rPr>
      <w:color w:val="0000FF" w:themeColor="hyperlink"/>
      <w:u w:val="single"/>
    </w:rPr>
  </w:style>
  <w:style w:type="table" w:styleId="TableGrid">
    <w:name w:val="Table Grid"/>
    <w:basedOn w:val="TableNormal"/>
    <w:uiPriority w:val="39"/>
    <w:rsid w:val="00A4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06"/>
  </w:style>
  <w:style w:type="paragraph" w:styleId="Footer">
    <w:name w:val="footer"/>
    <w:basedOn w:val="Normal"/>
    <w:link w:val="FooterChar"/>
    <w:uiPriority w:val="99"/>
    <w:unhideWhenUsed/>
    <w:rsid w:val="00A4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2E2"/>
    <w:pPr>
      <w:ind w:left="720"/>
      <w:contextualSpacing/>
    </w:pPr>
  </w:style>
  <w:style w:type="character" w:styleId="Hyperlink">
    <w:name w:val="Hyperlink"/>
    <w:basedOn w:val="DefaultParagraphFont"/>
    <w:uiPriority w:val="99"/>
    <w:unhideWhenUsed/>
    <w:rsid w:val="001C22E2"/>
    <w:rPr>
      <w:color w:val="0000FF" w:themeColor="hyperlink"/>
      <w:u w:val="single"/>
    </w:rPr>
  </w:style>
  <w:style w:type="table" w:styleId="TableGrid">
    <w:name w:val="Table Grid"/>
    <w:basedOn w:val="TableNormal"/>
    <w:uiPriority w:val="39"/>
    <w:rsid w:val="00A4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06"/>
  </w:style>
  <w:style w:type="paragraph" w:styleId="Footer">
    <w:name w:val="footer"/>
    <w:basedOn w:val="Normal"/>
    <w:link w:val="FooterChar"/>
    <w:uiPriority w:val="99"/>
    <w:unhideWhenUsed/>
    <w:rsid w:val="00A4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cio.wa.gov/policies/policy-188-accessibility"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a.gov/ada_intro.htm" TargetMode="External"/><Relationship Id="rId17" Type="http://schemas.openxmlformats.org/officeDocument/2006/relationships/hyperlink" Target="http://www.washington.edu/accessibility/" TargetMode="External"/><Relationship Id="rId2" Type="http://schemas.openxmlformats.org/officeDocument/2006/relationships/styles" Target="styles.xml"/><Relationship Id="rId16" Type="http://schemas.openxmlformats.org/officeDocument/2006/relationships/hyperlink" Target="http://www.washington.edu/accessibility/checkli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sability.gov/rehabilitation-act-1973" TargetMode="External"/><Relationship Id="rId5" Type="http://schemas.openxmlformats.org/officeDocument/2006/relationships/webSettings" Target="webSettings.xml"/><Relationship Id="rId15" Type="http://schemas.openxmlformats.org/officeDocument/2006/relationships/hyperlink" Target="http://www.washington.edu/accessibility/guidelines/" TargetMode="External"/><Relationship Id="rId10" Type="http://schemas.openxmlformats.org/officeDocument/2006/relationships/hyperlink" Target="http://www.washington.edu/about/visionvalu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w.edu/about/visionvalues/" TargetMode="External"/><Relationship Id="rId14" Type="http://schemas.openxmlformats.org/officeDocument/2006/relationships/hyperlink" Target="http://www.uw.edu/admin/rules/policies/APS/02.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4</cp:revision>
  <dcterms:created xsi:type="dcterms:W3CDTF">2017-01-25T21:56:00Z</dcterms:created>
  <dcterms:modified xsi:type="dcterms:W3CDTF">2017-01-31T18:48:00Z</dcterms:modified>
</cp:coreProperties>
</file>