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-142874</wp:posOffset>
            </wp:positionH>
            <wp:positionV relativeFrom="paragraph">
              <wp:posOffset>9525</wp:posOffset>
            </wp:positionV>
            <wp:extent cx="2800350" cy="344170"/>
            <wp:effectExtent b="0" l="0" r="0" t="0"/>
            <wp:wrapSquare wrapText="bothSides" distB="0" distT="0" distL="114300" distR="114300"/>
            <wp:docPr descr="\\thoreau\kebaird$\faculty assembly\Logos\JPEG\fac.assemb_uwt.jpg" id="1" name="image2.jpg"/>
            <a:graphic>
              <a:graphicData uri="http://schemas.openxmlformats.org/drawingml/2006/picture">
                <pic:pic>
                  <pic:nvPicPr>
                    <pic:cNvPr descr="\\thoreau\kebaird$\faculty assembly\Logos\JPEG\fac.assemb_uwt.jpg" id="0" name="image2.jpg"/>
                    <pic:cNvPicPr preferRelativeResize="0"/>
                  </pic:nvPicPr>
                  <pic:blipFill>
                    <a:blip r:embed="rId6"/>
                    <a:srcRect b="0" l="0" r="0" t="0"/>
                    <a:stretch>
                      <a:fillRect/>
                    </a:stretch>
                  </pic:blipFill>
                  <pic:spPr>
                    <a:xfrm>
                      <a:off x="0" y="0"/>
                      <a:ext cx="2800350" cy="344170"/>
                    </a:xfrm>
                    <a:prstGeom prst="rect"/>
                    <a:ln/>
                  </pic:spPr>
                </pic:pic>
              </a:graphicData>
            </a:graphic>
          </wp:anchor>
        </w:drawing>
      </w:r>
    </w:p>
    <w:p w:rsidR="00000000" w:rsidDel="00000000" w:rsidP="00000000" w:rsidRDefault="00000000" w:rsidRPr="00000000" w14:paraId="00000001">
      <w:pPr>
        <w:spacing w:after="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w:t>
      </w:r>
    </w:p>
    <w:p w:rsidR="00000000" w:rsidDel="00000000" w:rsidP="00000000" w:rsidRDefault="00000000" w:rsidRPr="00000000" w14:paraId="00000004">
      <w:pPr>
        <w:spacing w:after="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Assembly Executive Council (EC) Meeting</w:t>
      </w:r>
    </w:p>
    <w:p w:rsidR="00000000" w:rsidDel="00000000" w:rsidP="00000000" w:rsidRDefault="00000000" w:rsidRPr="00000000" w14:paraId="00000005">
      <w:pPr>
        <w:spacing w:after="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Monday, February 5, 2018 12:30-12:25pm   GWP 320</w:t>
      </w:r>
    </w:p>
    <w:p w:rsidR="00000000" w:rsidDel="00000000" w:rsidP="00000000" w:rsidRDefault="00000000" w:rsidRPr="00000000" w14:paraId="00000006">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12:30 - 12:35</w:t>
      </w:r>
      <w:r w:rsidDel="00000000" w:rsidR="00000000" w:rsidRPr="00000000">
        <w:rPr>
          <w:rFonts w:ascii="Times New Roman" w:cs="Times New Roman" w:eastAsia="Times New Roman" w:hAnsi="Times New Roman"/>
          <w:sz w:val="24"/>
          <w:szCs w:val="24"/>
          <w:rtl w:val="0"/>
        </w:rPr>
        <w:t xml:space="preserve">   The Consent Agenda was approved.</w:t>
      </w:r>
    </w:p>
    <w:p w:rsidR="00000000" w:rsidDel="00000000" w:rsidP="00000000" w:rsidRDefault="00000000" w:rsidRPr="00000000" w14:paraId="00000009">
      <w:pPr>
        <w:spacing w:after="0" w:lineRule="auto"/>
        <w:ind w:left="72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January 12, 2018 EC Meeting Minutes were approved.</w:t>
      </w:r>
    </w:p>
    <w:p w:rsidR="00000000" w:rsidDel="00000000" w:rsidP="00000000" w:rsidRDefault="00000000" w:rsidRPr="00000000" w14:paraId="0000000A">
      <w:pPr>
        <w:spacing w:after="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12:35 - 12:40</w:t>
      </w:r>
      <w:r w:rsidDel="00000000" w:rsidR="00000000" w:rsidRPr="00000000">
        <w:rPr>
          <w:rFonts w:ascii="Times New Roman" w:cs="Times New Roman" w:eastAsia="Times New Roman" w:hAnsi="Times New Roman"/>
          <w:sz w:val="24"/>
          <w:szCs w:val="24"/>
          <w:rtl w:val="0"/>
        </w:rPr>
        <w:t xml:space="preserve">    There were no updates from the EVCAA &amp; or about Academic Planning. There were no questions about stage two in the academic planning process.</w:t>
      </w:r>
    </w:p>
    <w:p w:rsidR="00000000" w:rsidDel="00000000" w:rsidP="00000000" w:rsidRDefault="00000000" w:rsidRPr="00000000" w14:paraId="0000000C">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12:40 – 1:25</w:t>
      </w:r>
      <w:r w:rsidDel="00000000" w:rsidR="00000000" w:rsidRPr="00000000">
        <w:rPr>
          <w:rFonts w:ascii="Times New Roman" w:cs="Times New Roman" w:eastAsia="Times New Roman" w:hAnsi="Times New Roman"/>
          <w:sz w:val="24"/>
          <w:szCs w:val="24"/>
          <w:rtl w:val="0"/>
        </w:rPr>
        <w:t xml:space="preserve">     Student Perspectives Dialogue </w:t>
      </w:r>
      <w:r w:rsidDel="00000000" w:rsidR="00000000" w:rsidRPr="00000000">
        <w:rPr>
          <w:rFonts w:ascii="Times New Roman" w:cs="Times New Roman" w:eastAsia="Times New Roman" w:hAnsi="Times New Roman"/>
          <w:i w:val="1"/>
          <w:sz w:val="24"/>
          <w:szCs w:val="24"/>
          <w:rtl w:val="0"/>
        </w:rPr>
        <w:t xml:space="preserve">- facilitated by VC SAES, Mentha Hynes-Wilson</w:t>
      </w:r>
      <w:r w:rsidDel="00000000" w:rsidR="00000000" w:rsidRPr="00000000">
        <w:rPr>
          <w:rtl w:val="0"/>
        </w:rPr>
      </w:r>
    </w:p>
    <w:p w:rsidR="00000000" w:rsidDel="00000000" w:rsidP="00000000" w:rsidRDefault="00000000" w:rsidRPr="00000000" w14:paraId="0000000E">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 vice chair, Ka Yee Yeung expressed excitement over having the student panel with Mentha helping to facilitate. It was acknowledged that the student leaders volunteered their time to share their perspectives. EC members were invited to introduce themselves first and then the students introduced themselves.</w:t>
      </w:r>
    </w:p>
    <w:p w:rsidR="00000000" w:rsidDel="00000000" w:rsidP="00000000" w:rsidRDefault="00000000" w:rsidRPr="00000000" w14:paraId="00000010">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 Student Perspectives Dialogue notes can be found </w:t>
      </w:r>
      <w:hyperlink r:id="rId7">
        <w:r w:rsidDel="00000000" w:rsidR="00000000" w:rsidRPr="00000000">
          <w:rPr>
            <w:rFonts w:ascii="Times New Roman" w:cs="Times New Roman" w:eastAsia="Times New Roman" w:hAnsi="Times New Roman"/>
            <w:color w:val="0563c1"/>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w:t>
      </w:r>
    </w:p>
    <w:p w:rsidR="00000000" w:rsidDel="00000000" w:rsidP="00000000" w:rsidRDefault="00000000" w:rsidRPr="00000000" w14:paraId="00000014">
      <w:pPr>
        <w:spacing w:after="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tacoma.uw.edu/node/22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