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031" w:rsidRDefault="00F74031">
      <w:pPr>
        <w:rPr>
          <w:b/>
          <w:color w:val="000000"/>
          <w:sz w:val="32"/>
          <w:szCs w:val="32"/>
        </w:rPr>
      </w:pPr>
    </w:p>
    <w:p w:rsidR="00F74031" w:rsidRDefault="00210BD9">
      <w:pPr>
        <w:jc w:val="center"/>
        <w:rPr>
          <w:sz w:val="28"/>
          <w:szCs w:val="28"/>
        </w:rPr>
      </w:pPr>
      <w:r>
        <w:rPr>
          <w:b/>
          <w:color w:val="000000"/>
          <w:sz w:val="28"/>
          <w:szCs w:val="28"/>
        </w:rPr>
        <w:t>Faculty Assembly Executive Council (EC) Meeting Minutes</w:t>
      </w:r>
    </w:p>
    <w:p w:rsidR="00F74031" w:rsidRDefault="00210BD9">
      <w:pPr>
        <w:ind w:left="2160" w:firstLine="720"/>
        <w:rPr>
          <w:color w:val="000000"/>
        </w:rPr>
      </w:pPr>
      <w:r>
        <w:rPr>
          <w:color w:val="000000"/>
        </w:rPr>
        <w:t>June 3, 2019 (12:30 p.m. – 2:20 p.m.)</w:t>
      </w:r>
    </w:p>
    <w:p w:rsidR="00F74031" w:rsidRDefault="00210BD9">
      <w:pPr>
        <w:ind w:left="2160" w:firstLine="720"/>
      </w:pPr>
      <w:r>
        <w:rPr>
          <w:color w:val="000000"/>
        </w:rPr>
        <w:t>GWP 320 – Dawn Lucien Board Room</w:t>
      </w:r>
    </w:p>
    <w:p w:rsidR="00F74031" w:rsidRDefault="00F74031">
      <w:pPr>
        <w:jc w:val="center"/>
      </w:pPr>
    </w:p>
    <w:p w:rsidR="00F74031" w:rsidRDefault="00210BD9">
      <w:pPr>
        <w:rPr>
          <w:i/>
          <w:color w:val="000000"/>
        </w:rPr>
      </w:pPr>
      <w:r>
        <w:rPr>
          <w:b/>
          <w:i/>
          <w:color w:val="000000"/>
        </w:rPr>
        <w:t>Present</w:t>
      </w:r>
      <w:r>
        <w:rPr>
          <w:i/>
          <w:color w:val="000000"/>
        </w:rPr>
        <w:t xml:space="preserve">: </w:t>
      </w:r>
      <w:proofErr w:type="spellStart"/>
      <w:r>
        <w:rPr>
          <w:i/>
          <w:color w:val="000000"/>
        </w:rPr>
        <w:t>Menaka</w:t>
      </w:r>
      <w:proofErr w:type="spellEnd"/>
      <w:r>
        <w:rPr>
          <w:i/>
          <w:color w:val="000000"/>
        </w:rPr>
        <w:t xml:space="preserve"> Abraham, D.C. Grant, Katie </w:t>
      </w:r>
      <w:proofErr w:type="spellStart"/>
      <w:r>
        <w:rPr>
          <w:i/>
          <w:color w:val="000000"/>
        </w:rPr>
        <w:t>Haerling</w:t>
      </w:r>
      <w:proofErr w:type="spellEnd"/>
      <w:r w:rsidR="003D3166">
        <w:rPr>
          <w:i/>
          <w:color w:val="000000"/>
        </w:rPr>
        <w:t xml:space="preserve"> (present up to Item 5)</w:t>
      </w:r>
      <w:bookmarkStart w:id="0" w:name="_GoBack"/>
      <w:bookmarkEnd w:id="0"/>
      <w:r>
        <w:rPr>
          <w:i/>
        </w:rPr>
        <w:t xml:space="preserve">, Lauren Montgomery, </w:t>
      </w:r>
      <w:proofErr w:type="spellStart"/>
      <w:r>
        <w:rPr>
          <w:i/>
        </w:rPr>
        <w:t>Etga</w:t>
      </w:r>
      <w:proofErr w:type="spellEnd"/>
      <w:r>
        <w:rPr>
          <w:i/>
        </w:rPr>
        <w:t xml:space="preserve"> </w:t>
      </w:r>
      <w:proofErr w:type="spellStart"/>
      <w:r>
        <w:rPr>
          <w:i/>
        </w:rPr>
        <w:t>Ugur</w:t>
      </w:r>
      <w:proofErr w:type="spellEnd"/>
      <w:r>
        <w:rPr>
          <w:i/>
        </w:rPr>
        <w:t xml:space="preserve">, </w:t>
      </w:r>
      <w:proofErr w:type="spellStart"/>
      <w:r>
        <w:rPr>
          <w:i/>
        </w:rPr>
        <w:t>Ka</w:t>
      </w:r>
      <w:proofErr w:type="spellEnd"/>
      <w:r>
        <w:rPr>
          <w:i/>
        </w:rPr>
        <w:t xml:space="preserve"> Yee Yeung-Rhee, Eugene </w:t>
      </w:r>
      <w:proofErr w:type="spellStart"/>
      <w:r>
        <w:rPr>
          <w:i/>
        </w:rPr>
        <w:t>Sivadas</w:t>
      </w:r>
      <w:proofErr w:type="spellEnd"/>
      <w:r>
        <w:rPr>
          <w:i/>
          <w:color w:val="000000"/>
        </w:rPr>
        <w:t xml:space="preserve">, </w:t>
      </w:r>
      <w:proofErr w:type="spellStart"/>
      <w:r>
        <w:rPr>
          <w:i/>
          <w:color w:val="000000"/>
        </w:rPr>
        <w:t>Leighann</w:t>
      </w:r>
      <w:proofErr w:type="spellEnd"/>
      <w:r>
        <w:rPr>
          <w:i/>
          <w:color w:val="000000"/>
        </w:rPr>
        <w:t xml:space="preserve"> Chaffee, </w:t>
      </w:r>
      <w:r>
        <w:rPr>
          <w:i/>
        </w:rPr>
        <w:t xml:space="preserve">Mark </w:t>
      </w:r>
      <w:proofErr w:type="spellStart"/>
      <w:r>
        <w:rPr>
          <w:i/>
        </w:rPr>
        <w:t>Pendras</w:t>
      </w:r>
      <w:proofErr w:type="spellEnd"/>
      <w:r>
        <w:rPr>
          <w:i/>
        </w:rPr>
        <w:t xml:space="preserve">, </w:t>
      </w:r>
      <w:r>
        <w:rPr>
          <w:i/>
          <w:color w:val="000000"/>
        </w:rPr>
        <w:t>Jill Purdy</w:t>
      </w:r>
      <w:r>
        <w:rPr>
          <w:i/>
        </w:rPr>
        <w:t xml:space="preserve">, Charles </w:t>
      </w:r>
      <w:proofErr w:type="spellStart"/>
      <w:r>
        <w:rPr>
          <w:i/>
        </w:rPr>
        <w:t>Costarella</w:t>
      </w:r>
      <w:proofErr w:type="spellEnd"/>
      <w:r>
        <w:rPr>
          <w:i/>
        </w:rPr>
        <w:t xml:space="preserve">, </w:t>
      </w:r>
      <w:proofErr w:type="spellStart"/>
      <w:r>
        <w:rPr>
          <w:i/>
        </w:rPr>
        <w:t>Loly</w:t>
      </w:r>
      <w:proofErr w:type="spellEnd"/>
      <w:r>
        <w:rPr>
          <w:i/>
        </w:rPr>
        <w:t xml:space="preserve"> </w:t>
      </w:r>
      <w:proofErr w:type="spellStart"/>
      <w:r>
        <w:rPr>
          <w:i/>
        </w:rPr>
        <w:t>Alcaide</w:t>
      </w:r>
      <w:proofErr w:type="spellEnd"/>
      <w:r>
        <w:rPr>
          <w:i/>
        </w:rPr>
        <w:t xml:space="preserve"> Ramirez, </w:t>
      </w:r>
      <w:r>
        <w:rPr>
          <w:i/>
          <w:color w:val="000000"/>
        </w:rPr>
        <w:t>Sarah Hampson, Marian Harris</w:t>
      </w:r>
      <w:r>
        <w:rPr>
          <w:i/>
        </w:rPr>
        <w:t xml:space="preserve">, Danica Miller, </w:t>
      </w:r>
      <w:proofErr w:type="spellStart"/>
      <w:r>
        <w:rPr>
          <w:i/>
        </w:rPr>
        <w:t>Sushil</w:t>
      </w:r>
      <w:proofErr w:type="spellEnd"/>
      <w:r>
        <w:rPr>
          <w:i/>
        </w:rPr>
        <w:t xml:space="preserve"> </w:t>
      </w:r>
      <w:proofErr w:type="spellStart"/>
      <w:r>
        <w:rPr>
          <w:i/>
        </w:rPr>
        <w:t>Oswal</w:t>
      </w:r>
      <w:proofErr w:type="spellEnd"/>
      <w:r>
        <w:rPr>
          <w:i/>
        </w:rPr>
        <w:t xml:space="preserve">, Jenny Sheng, </w:t>
      </w:r>
      <w:r>
        <w:rPr>
          <w:i/>
          <w:color w:val="000000"/>
        </w:rPr>
        <w:t>Michelle Garner,</w:t>
      </w:r>
      <w:r>
        <w:rPr>
          <w:i/>
        </w:rPr>
        <w:t xml:space="preserve"> Justin </w:t>
      </w:r>
      <w:proofErr w:type="spellStart"/>
      <w:r>
        <w:rPr>
          <w:i/>
        </w:rPr>
        <w:t>Wadland</w:t>
      </w:r>
      <w:proofErr w:type="spellEnd"/>
      <w:r>
        <w:rPr>
          <w:i/>
        </w:rPr>
        <w:t xml:space="preserve">, Nicole Blair </w:t>
      </w:r>
      <w:r>
        <w:rPr>
          <w:b/>
          <w:i/>
        </w:rPr>
        <w:t>Attending Remotely</w:t>
      </w:r>
      <w:r>
        <w:rPr>
          <w:i/>
        </w:rPr>
        <w:t>: Kathy Beaudoin</w:t>
      </w:r>
      <w:r>
        <w:rPr>
          <w:i/>
          <w:color w:val="000000"/>
        </w:rPr>
        <w:t xml:space="preserve">  </w:t>
      </w:r>
      <w:r>
        <w:rPr>
          <w:b/>
          <w:i/>
        </w:rPr>
        <w:t>Excused:</w:t>
      </w:r>
      <w:r>
        <w:rPr>
          <w:i/>
        </w:rPr>
        <w:t xml:space="preserve"> </w:t>
      </w:r>
      <w:proofErr w:type="spellStart"/>
      <w:r>
        <w:rPr>
          <w:i/>
        </w:rPr>
        <w:t>Rupin</w:t>
      </w:r>
      <w:r>
        <w:rPr>
          <w:i/>
        </w:rPr>
        <w:t>der</w:t>
      </w:r>
      <w:proofErr w:type="spellEnd"/>
      <w:r>
        <w:rPr>
          <w:i/>
        </w:rPr>
        <w:t xml:space="preserve"> Jindal, </w:t>
      </w:r>
      <w:proofErr w:type="spellStart"/>
      <w:r>
        <w:rPr>
          <w:i/>
        </w:rPr>
        <w:t>Arindam</w:t>
      </w:r>
      <w:proofErr w:type="spellEnd"/>
      <w:r>
        <w:rPr>
          <w:i/>
        </w:rPr>
        <w:t xml:space="preserve"> </w:t>
      </w:r>
      <w:proofErr w:type="spellStart"/>
      <w:r>
        <w:rPr>
          <w:i/>
        </w:rPr>
        <w:t>Tripathy</w:t>
      </w:r>
      <w:proofErr w:type="spellEnd"/>
      <w:r>
        <w:rPr>
          <w:i/>
        </w:rPr>
        <w:t xml:space="preserve"> </w:t>
      </w:r>
      <w:r>
        <w:rPr>
          <w:b/>
          <w:i/>
        </w:rPr>
        <w:t>Guests</w:t>
      </w:r>
      <w:r>
        <w:rPr>
          <w:i/>
        </w:rPr>
        <w:t xml:space="preserve">: </w:t>
      </w:r>
      <w:proofErr w:type="spellStart"/>
      <w:r>
        <w:rPr>
          <w:i/>
        </w:rPr>
        <w:t>Serin</w:t>
      </w:r>
      <w:proofErr w:type="spellEnd"/>
      <w:r>
        <w:rPr>
          <w:i/>
        </w:rPr>
        <w:t xml:space="preserve"> Anderson, </w:t>
      </w:r>
      <w:proofErr w:type="spellStart"/>
      <w:r>
        <w:rPr>
          <w:i/>
        </w:rPr>
        <w:t>LeAnne</w:t>
      </w:r>
      <w:proofErr w:type="spellEnd"/>
      <w:r>
        <w:rPr>
          <w:i/>
        </w:rPr>
        <w:t xml:space="preserve"> </w:t>
      </w:r>
      <w:proofErr w:type="spellStart"/>
      <w:r>
        <w:rPr>
          <w:i/>
        </w:rPr>
        <w:t>Laux-Bachand</w:t>
      </w:r>
      <w:proofErr w:type="spellEnd"/>
      <w:r>
        <w:rPr>
          <w:i/>
        </w:rPr>
        <w:t xml:space="preserve">, Robin Evans-Agnew, Jim Thatcher, </w:t>
      </w:r>
      <w:proofErr w:type="spellStart"/>
      <w:r>
        <w:rPr>
          <w:i/>
        </w:rPr>
        <w:t>Yonn</w:t>
      </w:r>
      <w:proofErr w:type="spellEnd"/>
      <w:r>
        <w:rPr>
          <w:i/>
        </w:rPr>
        <w:t xml:space="preserve"> </w:t>
      </w:r>
      <w:proofErr w:type="spellStart"/>
      <w:r>
        <w:rPr>
          <w:i/>
        </w:rPr>
        <w:t>Dierwechter</w:t>
      </w:r>
      <w:proofErr w:type="spellEnd"/>
      <w:r>
        <w:rPr>
          <w:i/>
        </w:rPr>
        <w:t xml:space="preserve">, </w:t>
      </w:r>
      <w:proofErr w:type="spellStart"/>
      <w:r>
        <w:rPr>
          <w:i/>
        </w:rPr>
        <w:t>Rajendra</w:t>
      </w:r>
      <w:proofErr w:type="spellEnd"/>
      <w:r>
        <w:rPr>
          <w:i/>
        </w:rPr>
        <w:t xml:space="preserve"> </w:t>
      </w:r>
      <w:proofErr w:type="spellStart"/>
      <w:r>
        <w:rPr>
          <w:i/>
        </w:rPr>
        <w:t>Katti</w:t>
      </w:r>
      <w:proofErr w:type="spellEnd"/>
    </w:p>
    <w:p w:rsidR="00F74031" w:rsidRDefault="00F74031">
      <w:pPr>
        <w:rPr>
          <w:b/>
          <w:i/>
          <w:color w:val="000000"/>
          <w:u w:val="single"/>
        </w:rPr>
      </w:pPr>
      <w:bookmarkStart w:id="1" w:name="_gjdgxs" w:colFirst="0" w:colLast="0"/>
      <w:bookmarkEnd w:id="1"/>
    </w:p>
    <w:p w:rsidR="00F74031" w:rsidRDefault="00210BD9">
      <w:pPr>
        <w:numPr>
          <w:ilvl w:val="0"/>
          <w:numId w:val="14"/>
        </w:numPr>
        <w:pBdr>
          <w:top w:val="nil"/>
          <w:left w:val="nil"/>
          <w:bottom w:val="nil"/>
          <w:right w:val="nil"/>
          <w:between w:val="nil"/>
        </w:pBdr>
        <w:ind w:left="360" w:firstLine="0"/>
        <w:rPr>
          <w:b/>
          <w:color w:val="000000"/>
          <w:u w:val="single"/>
        </w:rPr>
      </w:pPr>
      <w:bookmarkStart w:id="2" w:name="_30j0zll" w:colFirst="0" w:colLast="0"/>
      <w:bookmarkEnd w:id="2"/>
      <w:r>
        <w:rPr>
          <w:b/>
          <w:color w:val="000000"/>
          <w:u w:val="single"/>
        </w:rPr>
        <w:t>Consent Agenda &amp; Recording Permission</w:t>
      </w:r>
    </w:p>
    <w:p w:rsidR="00F74031" w:rsidRDefault="00210BD9">
      <w:pPr>
        <w:numPr>
          <w:ilvl w:val="0"/>
          <w:numId w:val="15"/>
        </w:numPr>
        <w:pBdr>
          <w:top w:val="nil"/>
          <w:left w:val="nil"/>
          <w:bottom w:val="nil"/>
          <w:right w:val="nil"/>
          <w:between w:val="nil"/>
        </w:pBdr>
      </w:pPr>
      <w:r>
        <w:rPr>
          <w:color w:val="000000"/>
        </w:rPr>
        <w:t>Recording permission for the minutes was given.</w:t>
      </w:r>
    </w:p>
    <w:p w:rsidR="00F74031" w:rsidRDefault="00210BD9">
      <w:pPr>
        <w:numPr>
          <w:ilvl w:val="0"/>
          <w:numId w:val="15"/>
        </w:numPr>
        <w:pBdr>
          <w:top w:val="nil"/>
          <w:left w:val="nil"/>
          <w:bottom w:val="nil"/>
          <w:right w:val="nil"/>
          <w:between w:val="nil"/>
        </w:pBdr>
        <w:rPr>
          <w:i/>
          <w:color w:val="000000"/>
        </w:rPr>
      </w:pPr>
      <w:r>
        <w:rPr>
          <w:color w:val="000000"/>
        </w:rPr>
        <w:t>The agenda for June 3, 2019 w</w:t>
      </w:r>
      <w:r>
        <w:rPr>
          <w:color w:val="000000"/>
        </w:rPr>
        <w:t xml:space="preserve">as approved. </w:t>
      </w:r>
    </w:p>
    <w:p w:rsidR="00F74031" w:rsidRDefault="00210BD9">
      <w:pPr>
        <w:numPr>
          <w:ilvl w:val="1"/>
          <w:numId w:val="15"/>
        </w:numPr>
        <w:pBdr>
          <w:top w:val="nil"/>
          <w:left w:val="nil"/>
          <w:bottom w:val="nil"/>
          <w:right w:val="nil"/>
          <w:between w:val="nil"/>
        </w:pBdr>
        <w:rPr>
          <w:i/>
          <w:color w:val="000000"/>
        </w:rPr>
      </w:pPr>
      <w:r>
        <w:rPr>
          <w:i/>
          <w:color w:val="000000"/>
        </w:rPr>
        <w:t>16 yes, 0 abstention, 0 no</w:t>
      </w:r>
    </w:p>
    <w:p w:rsidR="00F74031" w:rsidRDefault="00210BD9">
      <w:pPr>
        <w:numPr>
          <w:ilvl w:val="0"/>
          <w:numId w:val="15"/>
        </w:numPr>
        <w:pBdr>
          <w:top w:val="nil"/>
          <w:left w:val="nil"/>
          <w:bottom w:val="nil"/>
          <w:right w:val="nil"/>
          <w:between w:val="nil"/>
        </w:pBdr>
        <w:rPr>
          <w:i/>
          <w:color w:val="000000"/>
        </w:rPr>
      </w:pPr>
      <w:r>
        <w:rPr>
          <w:color w:val="000000"/>
        </w:rPr>
        <w:t>The meeting minutes from 4/22/19 were approved.</w:t>
      </w:r>
    </w:p>
    <w:p w:rsidR="00F74031" w:rsidRDefault="00210BD9">
      <w:pPr>
        <w:numPr>
          <w:ilvl w:val="1"/>
          <w:numId w:val="15"/>
        </w:numPr>
        <w:pBdr>
          <w:top w:val="nil"/>
          <w:left w:val="nil"/>
          <w:bottom w:val="nil"/>
          <w:right w:val="nil"/>
          <w:between w:val="nil"/>
        </w:pBdr>
        <w:rPr>
          <w:i/>
          <w:color w:val="000000"/>
        </w:rPr>
      </w:pPr>
      <w:r>
        <w:rPr>
          <w:rFonts w:ascii="Times" w:eastAsia="Times" w:hAnsi="Times" w:cs="Times"/>
          <w:i/>
          <w:color w:val="000000"/>
        </w:rPr>
        <w:t xml:space="preserve">13 yes, 1 abstention, 0 no </w:t>
      </w:r>
    </w:p>
    <w:p w:rsidR="00F74031" w:rsidRDefault="00210BD9">
      <w:pPr>
        <w:numPr>
          <w:ilvl w:val="0"/>
          <w:numId w:val="15"/>
        </w:numPr>
        <w:pBdr>
          <w:top w:val="nil"/>
          <w:left w:val="nil"/>
          <w:bottom w:val="nil"/>
          <w:right w:val="nil"/>
          <w:between w:val="nil"/>
        </w:pBdr>
        <w:rPr>
          <w:i/>
          <w:color w:val="000000"/>
        </w:rPr>
      </w:pPr>
      <w:r>
        <w:rPr>
          <w:color w:val="000000"/>
        </w:rPr>
        <w:t>The meeting minutes from 5/6/19 were approved.</w:t>
      </w:r>
    </w:p>
    <w:p w:rsidR="00F74031" w:rsidRDefault="00210BD9">
      <w:pPr>
        <w:numPr>
          <w:ilvl w:val="1"/>
          <w:numId w:val="15"/>
        </w:numPr>
        <w:pBdr>
          <w:top w:val="nil"/>
          <w:left w:val="nil"/>
          <w:bottom w:val="nil"/>
          <w:right w:val="nil"/>
          <w:between w:val="nil"/>
        </w:pBdr>
        <w:rPr>
          <w:i/>
          <w:color w:val="000000"/>
        </w:rPr>
      </w:pPr>
      <w:r>
        <w:rPr>
          <w:rFonts w:ascii="Times" w:eastAsia="Times" w:hAnsi="Times" w:cs="Times"/>
          <w:i/>
          <w:color w:val="000000"/>
        </w:rPr>
        <w:t xml:space="preserve">14 yes, 0 abstention, 0 no </w:t>
      </w:r>
    </w:p>
    <w:p w:rsidR="00F74031" w:rsidRDefault="00F74031">
      <w:pPr>
        <w:pBdr>
          <w:top w:val="nil"/>
          <w:left w:val="nil"/>
          <w:bottom w:val="nil"/>
          <w:right w:val="nil"/>
          <w:between w:val="nil"/>
        </w:pBdr>
        <w:ind w:left="1440" w:hanging="720"/>
        <w:rPr>
          <w:i/>
          <w:color w:val="000000"/>
        </w:rPr>
      </w:pPr>
    </w:p>
    <w:p w:rsidR="00F74031" w:rsidRDefault="00210BD9">
      <w:pPr>
        <w:numPr>
          <w:ilvl w:val="0"/>
          <w:numId w:val="14"/>
        </w:numPr>
        <w:pBdr>
          <w:top w:val="nil"/>
          <w:left w:val="nil"/>
          <w:bottom w:val="nil"/>
          <w:right w:val="nil"/>
          <w:between w:val="nil"/>
        </w:pBdr>
        <w:ind w:left="360" w:firstLine="0"/>
        <w:rPr>
          <w:b/>
          <w:color w:val="000000"/>
          <w:u w:val="single"/>
        </w:rPr>
      </w:pPr>
      <w:r>
        <w:rPr>
          <w:b/>
          <w:color w:val="000000"/>
          <w:u w:val="single"/>
        </w:rPr>
        <w:t>Announcements</w:t>
      </w:r>
    </w:p>
    <w:p w:rsidR="00F74031" w:rsidRDefault="00210BD9">
      <w:pPr>
        <w:numPr>
          <w:ilvl w:val="0"/>
          <w:numId w:val="3"/>
        </w:numPr>
        <w:pBdr>
          <w:top w:val="nil"/>
          <w:left w:val="nil"/>
          <w:bottom w:val="nil"/>
          <w:right w:val="nil"/>
          <w:between w:val="nil"/>
        </w:pBdr>
        <w:rPr>
          <w:color w:val="000000"/>
          <w:highlight w:val="white"/>
        </w:rPr>
      </w:pPr>
      <w:r>
        <w:rPr>
          <w:color w:val="000000"/>
          <w:highlight w:val="white"/>
        </w:rPr>
        <w:t>The incoming Standing Committee Chairs for Faculty Affairs Committee; Appointment, Promotion, and Tenure; and Academic Policy &amp; Curriculum Committee were introduced to EC.</w:t>
      </w:r>
    </w:p>
    <w:p w:rsidR="00F74031" w:rsidRDefault="00210BD9">
      <w:pPr>
        <w:numPr>
          <w:ilvl w:val="0"/>
          <w:numId w:val="3"/>
        </w:numPr>
        <w:pBdr>
          <w:top w:val="nil"/>
          <w:left w:val="nil"/>
          <w:bottom w:val="nil"/>
          <w:right w:val="nil"/>
          <w:between w:val="nil"/>
        </w:pBdr>
      </w:pPr>
      <w:r>
        <w:rPr>
          <w:color w:val="000000"/>
        </w:rPr>
        <w:t>Two faculty and one staff are preparing to launch the Higher Education Budgets Study</w:t>
      </w:r>
      <w:r>
        <w:rPr>
          <w:color w:val="000000"/>
        </w:rPr>
        <w:t xml:space="preserve"> Group. This study group will aim to understand higher education budget issues using the UW Tacoma budget as a case study. An email announcement will be sent to faculty on June 4, 2019.</w:t>
      </w:r>
    </w:p>
    <w:p w:rsidR="00F74031" w:rsidRDefault="00F74031">
      <w:pPr>
        <w:pBdr>
          <w:top w:val="nil"/>
          <w:left w:val="nil"/>
          <w:bottom w:val="nil"/>
          <w:right w:val="nil"/>
          <w:between w:val="nil"/>
        </w:pBdr>
        <w:ind w:left="720" w:hanging="720"/>
        <w:rPr>
          <w:color w:val="000000"/>
        </w:rPr>
      </w:pPr>
    </w:p>
    <w:p w:rsidR="00F74031" w:rsidRDefault="00210BD9">
      <w:pPr>
        <w:numPr>
          <w:ilvl w:val="0"/>
          <w:numId w:val="14"/>
        </w:numPr>
        <w:pBdr>
          <w:top w:val="nil"/>
          <w:left w:val="nil"/>
          <w:bottom w:val="nil"/>
          <w:right w:val="nil"/>
          <w:between w:val="nil"/>
        </w:pBdr>
        <w:tabs>
          <w:tab w:val="left" w:pos="810"/>
        </w:tabs>
        <w:ind w:left="360" w:firstLine="0"/>
        <w:rPr>
          <w:b/>
          <w:color w:val="000000"/>
          <w:u w:val="single"/>
        </w:rPr>
      </w:pPr>
      <w:r>
        <w:rPr>
          <w:b/>
          <w:color w:val="000000"/>
          <w:u w:val="single"/>
        </w:rPr>
        <w:t xml:space="preserve">EVCAA Report </w:t>
      </w:r>
    </w:p>
    <w:p w:rsidR="00F74031" w:rsidRDefault="00210BD9">
      <w:pPr>
        <w:numPr>
          <w:ilvl w:val="0"/>
          <w:numId w:val="1"/>
        </w:numPr>
        <w:pBdr>
          <w:top w:val="nil"/>
          <w:left w:val="nil"/>
          <w:bottom w:val="nil"/>
          <w:right w:val="nil"/>
          <w:between w:val="nil"/>
        </w:pBdr>
        <w:tabs>
          <w:tab w:val="left" w:pos="810"/>
        </w:tabs>
        <w:rPr>
          <w:color w:val="000000"/>
        </w:rPr>
      </w:pPr>
      <w:r>
        <w:rPr>
          <w:color w:val="000000"/>
          <w:u w:val="single"/>
        </w:rPr>
        <w:t>Academic Affairs Budget Adjustments</w:t>
      </w:r>
      <w:r>
        <w:rPr>
          <w:color w:val="000000"/>
        </w:rPr>
        <w:t xml:space="preserve"> – Following-up from the Chancellor’s Town Hall on May 28, 2019, the EVCAA gave an overview of the summary of budget adjustments that will occur in FY20 within Academic Affairs. </w:t>
      </w:r>
    </w:p>
    <w:p w:rsidR="00F74031" w:rsidRDefault="00210BD9">
      <w:pPr>
        <w:numPr>
          <w:ilvl w:val="0"/>
          <w:numId w:val="1"/>
        </w:numPr>
        <w:pBdr>
          <w:top w:val="nil"/>
          <w:left w:val="nil"/>
          <w:bottom w:val="nil"/>
          <w:right w:val="nil"/>
          <w:between w:val="nil"/>
        </w:pBdr>
        <w:tabs>
          <w:tab w:val="left" w:pos="810"/>
        </w:tabs>
        <w:rPr>
          <w:color w:val="000000"/>
        </w:rPr>
      </w:pPr>
      <w:r>
        <w:rPr>
          <w:color w:val="000000"/>
        </w:rPr>
        <w:t>While no money is being cut from Schools, various support areas within Academ</w:t>
      </w:r>
      <w:r>
        <w:rPr>
          <w:color w:val="000000"/>
        </w:rPr>
        <w:t>ic Affairs will receive budget cuts in the amount of $769,192. This money will be reallocated to Schools and different support areas within Academic Affairs as part of a larger amount of newly funded areas. In the newly funded areas, Schools will receive $</w:t>
      </w:r>
      <w:r>
        <w:rPr>
          <w:color w:val="000000"/>
        </w:rPr>
        <w:t xml:space="preserve">1,063,550 and support areas will receive $321,865. </w:t>
      </w:r>
    </w:p>
    <w:p w:rsidR="00F74031" w:rsidRDefault="00210BD9">
      <w:pPr>
        <w:numPr>
          <w:ilvl w:val="0"/>
          <w:numId w:val="1"/>
        </w:numPr>
        <w:pBdr>
          <w:top w:val="nil"/>
          <w:left w:val="nil"/>
          <w:bottom w:val="nil"/>
          <w:right w:val="nil"/>
          <w:between w:val="nil"/>
        </w:pBdr>
        <w:tabs>
          <w:tab w:val="left" w:pos="810"/>
        </w:tabs>
        <w:rPr>
          <w:color w:val="000000"/>
        </w:rPr>
      </w:pPr>
      <w:r>
        <w:rPr>
          <w:color w:val="000000"/>
        </w:rPr>
        <w:t xml:space="preserve">The EVCAA provided a handout summarizing this information, which will be dispersed to EC electronically after it is updated to include more details.     </w:t>
      </w:r>
    </w:p>
    <w:p w:rsidR="00F74031" w:rsidRDefault="00F74031">
      <w:pPr>
        <w:pBdr>
          <w:top w:val="nil"/>
          <w:left w:val="nil"/>
          <w:bottom w:val="nil"/>
          <w:right w:val="nil"/>
          <w:between w:val="nil"/>
        </w:pBdr>
        <w:tabs>
          <w:tab w:val="left" w:pos="810"/>
        </w:tabs>
        <w:ind w:left="720" w:hanging="720"/>
        <w:rPr>
          <w:color w:val="000000"/>
        </w:rPr>
      </w:pPr>
    </w:p>
    <w:p w:rsidR="00F74031" w:rsidRDefault="00210BD9">
      <w:pPr>
        <w:numPr>
          <w:ilvl w:val="0"/>
          <w:numId w:val="14"/>
        </w:numPr>
        <w:pBdr>
          <w:top w:val="nil"/>
          <w:left w:val="nil"/>
          <w:bottom w:val="nil"/>
          <w:right w:val="nil"/>
          <w:between w:val="nil"/>
        </w:pBdr>
        <w:tabs>
          <w:tab w:val="left" w:pos="810"/>
        </w:tabs>
        <w:ind w:left="360" w:firstLine="0"/>
        <w:rPr>
          <w:b/>
          <w:color w:val="000000"/>
          <w:u w:val="single"/>
        </w:rPr>
      </w:pPr>
      <w:r>
        <w:rPr>
          <w:b/>
          <w:color w:val="000000"/>
          <w:u w:val="single"/>
        </w:rPr>
        <w:t>Academic Plan (vote) (See Appendix A)</w:t>
      </w:r>
      <w:r>
        <w:rPr>
          <w:color w:val="000000"/>
        </w:rPr>
        <w:t xml:space="preserve"> </w:t>
      </w:r>
    </w:p>
    <w:p w:rsidR="00F74031" w:rsidRDefault="00210BD9">
      <w:pPr>
        <w:numPr>
          <w:ilvl w:val="0"/>
          <w:numId w:val="1"/>
        </w:numPr>
        <w:pBdr>
          <w:top w:val="nil"/>
          <w:left w:val="nil"/>
          <w:bottom w:val="nil"/>
          <w:right w:val="nil"/>
          <w:between w:val="nil"/>
        </w:pBdr>
        <w:tabs>
          <w:tab w:val="left" w:pos="810"/>
        </w:tabs>
        <w:rPr>
          <w:color w:val="000000"/>
        </w:rPr>
      </w:pPr>
      <w:r>
        <w:rPr>
          <w:color w:val="000000"/>
        </w:rPr>
        <w:t xml:space="preserve">After the </w:t>
      </w:r>
      <w:r>
        <w:rPr>
          <w:color w:val="000000"/>
        </w:rPr>
        <w:t>May 6, 2019 EC meeting, the draft Academic Plan was dispersed to the ‘</w:t>
      </w:r>
      <w:proofErr w:type="spellStart"/>
      <w:r>
        <w:rPr>
          <w:color w:val="000000"/>
        </w:rPr>
        <w:t>uwtfac</w:t>
      </w:r>
      <w:proofErr w:type="spellEnd"/>
      <w:r>
        <w:rPr>
          <w:color w:val="000000"/>
        </w:rPr>
        <w:t>’ and ‘</w:t>
      </w:r>
      <w:proofErr w:type="spellStart"/>
      <w:r>
        <w:rPr>
          <w:color w:val="000000"/>
        </w:rPr>
        <w:t>uwtfacpt</w:t>
      </w:r>
      <w:proofErr w:type="spellEnd"/>
      <w:r>
        <w:rPr>
          <w:color w:val="000000"/>
        </w:rPr>
        <w:t xml:space="preserve">’ mailing lists so faculty across campus could submit feedback. EC </w:t>
      </w:r>
      <w:r>
        <w:rPr>
          <w:color w:val="000000"/>
        </w:rPr>
        <w:lastRenderedPageBreak/>
        <w:t>members also shared the draft Academic Plan with their units. Feedback was collected between May 7</w:t>
      </w:r>
      <w:r>
        <w:rPr>
          <w:color w:val="000000"/>
        </w:rPr>
        <w:t>, 2019 and May 25, 2019.</w:t>
      </w:r>
    </w:p>
    <w:p w:rsidR="00F74031" w:rsidRDefault="00210BD9">
      <w:pPr>
        <w:numPr>
          <w:ilvl w:val="0"/>
          <w:numId w:val="1"/>
        </w:numPr>
        <w:pBdr>
          <w:top w:val="nil"/>
          <w:left w:val="nil"/>
          <w:bottom w:val="nil"/>
          <w:right w:val="nil"/>
          <w:between w:val="nil"/>
        </w:pBdr>
        <w:tabs>
          <w:tab w:val="left" w:pos="810"/>
        </w:tabs>
        <w:rPr>
          <w:color w:val="000000"/>
        </w:rPr>
      </w:pPr>
      <w:r>
        <w:rPr>
          <w:color w:val="000000"/>
        </w:rPr>
        <w:t xml:space="preserve">The EC Chair gave committee members an overview of how feedback was collected and incorporated, which, given this is UW Tacoma’s first Academic Plan, resulted in the creation of </w:t>
      </w:r>
      <w:proofErr w:type="gramStart"/>
      <w:r>
        <w:rPr>
          <w:color w:val="000000"/>
        </w:rPr>
        <w:t>an</w:t>
      </w:r>
      <w:proofErr w:type="gramEnd"/>
      <w:r>
        <w:rPr>
          <w:color w:val="000000"/>
        </w:rPr>
        <w:t xml:space="preserve"> FAQs and Lessons Learned document. </w:t>
      </w:r>
    </w:p>
    <w:p w:rsidR="00F74031" w:rsidRDefault="00210BD9">
      <w:pPr>
        <w:numPr>
          <w:ilvl w:val="0"/>
          <w:numId w:val="1"/>
        </w:numPr>
        <w:pBdr>
          <w:top w:val="nil"/>
          <w:left w:val="nil"/>
          <w:bottom w:val="nil"/>
          <w:right w:val="nil"/>
          <w:between w:val="nil"/>
        </w:pBdr>
        <w:tabs>
          <w:tab w:val="left" w:pos="810"/>
        </w:tabs>
        <w:rPr>
          <w:color w:val="000000"/>
        </w:rPr>
      </w:pPr>
      <w:r>
        <w:rPr>
          <w:color w:val="000000"/>
        </w:rPr>
        <w:t>Motion to appr</w:t>
      </w:r>
      <w:r>
        <w:rPr>
          <w:color w:val="000000"/>
        </w:rPr>
        <w:t>ove Academic Plan</w:t>
      </w:r>
    </w:p>
    <w:p w:rsidR="00F74031" w:rsidRDefault="00210BD9">
      <w:pPr>
        <w:pBdr>
          <w:top w:val="nil"/>
          <w:left w:val="nil"/>
          <w:bottom w:val="nil"/>
          <w:right w:val="nil"/>
          <w:between w:val="nil"/>
        </w:pBdr>
        <w:tabs>
          <w:tab w:val="left" w:pos="810"/>
        </w:tabs>
        <w:ind w:left="720" w:hanging="720"/>
        <w:rPr>
          <w:i/>
          <w:color w:val="000000"/>
        </w:rPr>
      </w:pPr>
      <w:r>
        <w:rPr>
          <w:i/>
          <w:color w:val="000000"/>
        </w:rPr>
        <w:t xml:space="preserve">18 yes, 1 abstain, 0 no </w:t>
      </w:r>
    </w:p>
    <w:p w:rsidR="00F74031" w:rsidRDefault="00F74031">
      <w:pPr>
        <w:pBdr>
          <w:top w:val="nil"/>
          <w:left w:val="nil"/>
          <w:bottom w:val="nil"/>
          <w:right w:val="nil"/>
          <w:between w:val="nil"/>
        </w:pBdr>
        <w:tabs>
          <w:tab w:val="left" w:pos="810"/>
        </w:tabs>
        <w:ind w:left="360" w:hanging="720"/>
        <w:rPr>
          <w:b/>
          <w:color w:val="000000"/>
          <w:u w:val="single"/>
        </w:rPr>
      </w:pPr>
    </w:p>
    <w:p w:rsidR="00F74031" w:rsidRDefault="00210BD9">
      <w:pPr>
        <w:numPr>
          <w:ilvl w:val="0"/>
          <w:numId w:val="14"/>
        </w:numPr>
        <w:pBdr>
          <w:top w:val="nil"/>
          <w:left w:val="nil"/>
          <w:bottom w:val="nil"/>
          <w:right w:val="nil"/>
          <w:between w:val="nil"/>
        </w:pBdr>
        <w:tabs>
          <w:tab w:val="left" w:pos="810"/>
        </w:tabs>
        <w:ind w:left="360" w:firstLine="0"/>
        <w:rPr>
          <w:b/>
          <w:color w:val="000000"/>
          <w:u w:val="single"/>
        </w:rPr>
      </w:pPr>
      <w:r>
        <w:rPr>
          <w:b/>
          <w:color w:val="000000"/>
          <w:u w:val="single"/>
        </w:rPr>
        <w:t>Task Force on Tri-Campus Relationship (vote) (see Appendix B)</w:t>
      </w:r>
    </w:p>
    <w:p w:rsidR="00F74031" w:rsidRDefault="00210BD9">
      <w:pPr>
        <w:numPr>
          <w:ilvl w:val="0"/>
          <w:numId w:val="2"/>
        </w:numPr>
        <w:pBdr>
          <w:top w:val="nil"/>
          <w:left w:val="nil"/>
          <w:bottom w:val="nil"/>
          <w:right w:val="nil"/>
          <w:between w:val="nil"/>
        </w:pBdr>
        <w:tabs>
          <w:tab w:val="left" w:pos="810"/>
        </w:tabs>
        <w:rPr>
          <w:color w:val="000000"/>
        </w:rPr>
      </w:pPr>
      <w:r>
        <w:rPr>
          <w:color w:val="000000"/>
        </w:rPr>
        <w:t>After the May 6, 2019 EC meeting, the draft Steering Committee on Tri-Campus Relationships document was dispersed to the ‘</w:t>
      </w:r>
      <w:proofErr w:type="spellStart"/>
      <w:r>
        <w:rPr>
          <w:color w:val="000000"/>
        </w:rPr>
        <w:t>uwtfac</w:t>
      </w:r>
      <w:proofErr w:type="spellEnd"/>
      <w:r>
        <w:rPr>
          <w:color w:val="000000"/>
        </w:rPr>
        <w:t>’ and ‘</w:t>
      </w:r>
      <w:proofErr w:type="spellStart"/>
      <w:r>
        <w:rPr>
          <w:color w:val="000000"/>
        </w:rPr>
        <w:t>uwtfacpt</w:t>
      </w:r>
      <w:proofErr w:type="spellEnd"/>
      <w:r>
        <w:rPr>
          <w:color w:val="000000"/>
        </w:rPr>
        <w:t>’ mailing lists so faculty across campus could submit feedback. EC members also shared the draft Steering Committ</w:t>
      </w:r>
      <w:r>
        <w:rPr>
          <w:color w:val="000000"/>
        </w:rPr>
        <w:t>ee on Tri-Campus Relationships document with their units. Feedback was collected between May 7, 2019 and May 20, 2019.</w:t>
      </w:r>
    </w:p>
    <w:p w:rsidR="00F74031" w:rsidRDefault="00210BD9">
      <w:pPr>
        <w:numPr>
          <w:ilvl w:val="0"/>
          <w:numId w:val="2"/>
        </w:numPr>
        <w:pBdr>
          <w:top w:val="nil"/>
          <w:left w:val="nil"/>
          <w:bottom w:val="nil"/>
          <w:right w:val="nil"/>
          <w:between w:val="nil"/>
        </w:pBdr>
      </w:pPr>
      <w:r>
        <w:rPr>
          <w:color w:val="000000"/>
        </w:rPr>
        <w:t>The EC Chair presented an overview of changes made to the Steering Committee on Tri-Campus Relationships document including the newly cre</w:t>
      </w:r>
      <w:r>
        <w:rPr>
          <w:color w:val="000000"/>
        </w:rPr>
        <w:t>ated FAQs document describing how campus feedback was addressed.</w:t>
      </w:r>
    </w:p>
    <w:p w:rsidR="00F74031" w:rsidRDefault="00210BD9">
      <w:pPr>
        <w:numPr>
          <w:ilvl w:val="0"/>
          <w:numId w:val="2"/>
        </w:numPr>
        <w:pBdr>
          <w:top w:val="nil"/>
          <w:left w:val="nil"/>
          <w:bottom w:val="nil"/>
          <w:right w:val="nil"/>
          <w:between w:val="nil"/>
        </w:pBdr>
      </w:pPr>
      <w:r>
        <w:rPr>
          <w:color w:val="000000"/>
        </w:rPr>
        <w:t xml:space="preserve">Committee members expressed concerns over faculty members for this steering committee being appointed instead of elected. These discussions resulted in the creation of an election mechanism. </w:t>
      </w:r>
    </w:p>
    <w:p w:rsidR="00F74031" w:rsidRDefault="00210BD9">
      <w:pPr>
        <w:numPr>
          <w:ilvl w:val="0"/>
          <w:numId w:val="2"/>
        </w:numPr>
        <w:pBdr>
          <w:top w:val="nil"/>
          <w:left w:val="nil"/>
          <w:bottom w:val="nil"/>
          <w:right w:val="nil"/>
          <w:between w:val="nil"/>
        </w:pBdr>
      </w:pPr>
      <w:bookmarkStart w:id="3" w:name="_1fob9te" w:colFirst="0" w:colLast="0"/>
      <w:bookmarkEnd w:id="3"/>
      <w:r>
        <w:rPr>
          <w:color w:val="000000"/>
        </w:rPr>
        <w:t>Actions: Nominations for the Steering Committee on Tri-Campus Relationships will be solicited via catalyst through June 7, 2019 at 9 a.m. Candidates will submit a 1-page statement addressing how they meet the criteria for selection. EC members will vote o</w:t>
      </w:r>
      <w:r>
        <w:rPr>
          <w:color w:val="000000"/>
        </w:rPr>
        <w:t xml:space="preserve">n the final two faculty selected for the Steering Committee on Tri-Campus Relationships via catalyst before the quarter ends. </w:t>
      </w:r>
    </w:p>
    <w:p w:rsidR="00F74031" w:rsidRDefault="00210BD9">
      <w:pPr>
        <w:numPr>
          <w:ilvl w:val="0"/>
          <w:numId w:val="8"/>
        </w:numPr>
        <w:pBdr>
          <w:top w:val="nil"/>
          <w:left w:val="nil"/>
          <w:bottom w:val="nil"/>
          <w:right w:val="nil"/>
          <w:between w:val="nil"/>
        </w:pBdr>
        <w:tabs>
          <w:tab w:val="left" w:pos="810"/>
        </w:tabs>
        <w:rPr>
          <w:b/>
          <w:color w:val="000000"/>
          <w:u w:val="single"/>
        </w:rPr>
      </w:pPr>
      <w:r>
        <w:rPr>
          <w:color w:val="000000"/>
        </w:rPr>
        <w:t xml:space="preserve">Motion to approve Task Force on Tri-Campus Relationships with the following changes: Prioritized criteria for selection; faculty </w:t>
      </w:r>
      <w:r>
        <w:rPr>
          <w:color w:val="000000"/>
        </w:rPr>
        <w:t xml:space="preserve">members to be elected instead of appointed. </w:t>
      </w:r>
    </w:p>
    <w:p w:rsidR="00F74031" w:rsidRDefault="00210BD9">
      <w:pPr>
        <w:pBdr>
          <w:top w:val="nil"/>
          <w:left w:val="nil"/>
          <w:bottom w:val="nil"/>
          <w:right w:val="nil"/>
          <w:between w:val="nil"/>
        </w:pBdr>
        <w:tabs>
          <w:tab w:val="left" w:pos="810"/>
        </w:tabs>
        <w:ind w:left="720" w:hanging="720"/>
        <w:rPr>
          <w:i/>
          <w:color w:val="000000"/>
        </w:rPr>
      </w:pPr>
      <w:r>
        <w:rPr>
          <w:i/>
          <w:color w:val="000000"/>
        </w:rPr>
        <w:t>19 yes, 0 abstain, 0 no</w:t>
      </w:r>
    </w:p>
    <w:p w:rsidR="00F74031" w:rsidRDefault="00F74031">
      <w:pPr>
        <w:pBdr>
          <w:top w:val="nil"/>
          <w:left w:val="nil"/>
          <w:bottom w:val="nil"/>
          <w:right w:val="nil"/>
          <w:between w:val="nil"/>
        </w:pBdr>
        <w:tabs>
          <w:tab w:val="left" w:pos="810"/>
        </w:tabs>
        <w:rPr>
          <w:b/>
          <w:color w:val="000000"/>
          <w:u w:val="single"/>
        </w:rPr>
      </w:pPr>
    </w:p>
    <w:p w:rsidR="00F74031" w:rsidRDefault="00210BD9">
      <w:pPr>
        <w:numPr>
          <w:ilvl w:val="0"/>
          <w:numId w:val="14"/>
        </w:numPr>
        <w:pBdr>
          <w:top w:val="nil"/>
          <w:left w:val="nil"/>
          <w:bottom w:val="nil"/>
          <w:right w:val="nil"/>
          <w:between w:val="nil"/>
        </w:pBdr>
        <w:tabs>
          <w:tab w:val="left" w:pos="810"/>
        </w:tabs>
        <w:ind w:left="360" w:firstLine="0"/>
        <w:rPr>
          <w:b/>
          <w:color w:val="000000"/>
          <w:u w:val="single"/>
        </w:rPr>
      </w:pPr>
      <w:r>
        <w:rPr>
          <w:b/>
          <w:color w:val="000000"/>
          <w:u w:val="single"/>
        </w:rPr>
        <w:t>Executive Session – Election: Research Advisory Committee members (vote)</w:t>
      </w:r>
    </w:p>
    <w:p w:rsidR="00F74031" w:rsidRDefault="00210BD9">
      <w:pPr>
        <w:numPr>
          <w:ilvl w:val="0"/>
          <w:numId w:val="4"/>
        </w:numPr>
        <w:pBdr>
          <w:top w:val="nil"/>
          <w:left w:val="nil"/>
          <w:bottom w:val="nil"/>
          <w:right w:val="nil"/>
          <w:between w:val="nil"/>
        </w:pBdr>
        <w:tabs>
          <w:tab w:val="left" w:pos="810"/>
        </w:tabs>
        <w:rPr>
          <w:b/>
          <w:color w:val="000000"/>
          <w:u w:val="single"/>
        </w:rPr>
      </w:pPr>
      <w:r>
        <w:rPr>
          <w:color w:val="000000"/>
        </w:rPr>
        <w:t>After the May 6, 2019 EC meeting, EC voting members used the previously approved Research Advisory Committee (RAC) rubric to evaluate the 17 RAC nominees using cover letters and CVs submitted by each candidate. Evaluations were conducted via catalyst befor</w:t>
      </w:r>
      <w:r>
        <w:rPr>
          <w:color w:val="000000"/>
        </w:rPr>
        <w:t>e the June 3, 2019 EC meeting where final votes of the top seven candidates were cast.</w:t>
      </w:r>
    </w:p>
    <w:p w:rsidR="00F74031" w:rsidRDefault="00210BD9">
      <w:pPr>
        <w:numPr>
          <w:ilvl w:val="0"/>
          <w:numId w:val="4"/>
        </w:numPr>
        <w:pBdr>
          <w:top w:val="nil"/>
          <w:left w:val="nil"/>
          <w:bottom w:val="nil"/>
          <w:right w:val="nil"/>
          <w:between w:val="nil"/>
        </w:pBdr>
        <w:tabs>
          <w:tab w:val="left" w:pos="810"/>
        </w:tabs>
        <w:rPr>
          <w:b/>
          <w:color w:val="000000"/>
          <w:u w:val="single"/>
        </w:rPr>
      </w:pPr>
      <w:r>
        <w:rPr>
          <w:color w:val="000000"/>
        </w:rPr>
        <w:t>Discussions took place to ensure top candidates being voted upon met the rubric criteria (e.g. at least three units represented and balanced representation from qualitat</w:t>
      </w:r>
      <w:r>
        <w:rPr>
          <w:color w:val="000000"/>
        </w:rPr>
        <w:t xml:space="preserve">ive and quantitative methodologies). </w:t>
      </w:r>
    </w:p>
    <w:p w:rsidR="00F74031" w:rsidRDefault="00210BD9">
      <w:pPr>
        <w:numPr>
          <w:ilvl w:val="0"/>
          <w:numId w:val="4"/>
        </w:numPr>
        <w:pBdr>
          <w:top w:val="nil"/>
          <w:left w:val="nil"/>
          <w:bottom w:val="nil"/>
          <w:right w:val="nil"/>
          <w:between w:val="nil"/>
        </w:pBdr>
        <w:tabs>
          <w:tab w:val="left" w:pos="810"/>
        </w:tabs>
        <w:rPr>
          <w:b/>
          <w:color w:val="000000"/>
          <w:u w:val="single"/>
        </w:rPr>
      </w:pPr>
      <w:r>
        <w:rPr>
          <w:color w:val="000000"/>
        </w:rPr>
        <w:t>Voting processes resulted in the election of the five faculty members to the RAC.</w:t>
      </w:r>
    </w:p>
    <w:p w:rsidR="00F74031" w:rsidRDefault="00F74031">
      <w:pPr>
        <w:pBdr>
          <w:top w:val="nil"/>
          <w:left w:val="nil"/>
          <w:bottom w:val="nil"/>
          <w:right w:val="nil"/>
          <w:between w:val="nil"/>
        </w:pBdr>
        <w:tabs>
          <w:tab w:val="left" w:pos="810"/>
        </w:tabs>
        <w:ind w:left="720" w:hanging="720"/>
        <w:rPr>
          <w:b/>
          <w:color w:val="000000"/>
          <w:u w:val="single"/>
        </w:rPr>
      </w:pPr>
    </w:p>
    <w:p w:rsidR="00F74031" w:rsidRDefault="00210BD9">
      <w:pPr>
        <w:numPr>
          <w:ilvl w:val="0"/>
          <w:numId w:val="14"/>
        </w:numPr>
        <w:pBdr>
          <w:top w:val="nil"/>
          <w:left w:val="nil"/>
          <w:bottom w:val="nil"/>
          <w:right w:val="nil"/>
          <w:between w:val="nil"/>
        </w:pBdr>
        <w:tabs>
          <w:tab w:val="left" w:pos="810"/>
        </w:tabs>
        <w:ind w:left="360" w:firstLine="0"/>
        <w:rPr>
          <w:b/>
          <w:color w:val="000000"/>
          <w:u w:val="single"/>
        </w:rPr>
      </w:pPr>
      <w:r>
        <w:rPr>
          <w:b/>
          <w:color w:val="000000"/>
          <w:u w:val="single"/>
        </w:rPr>
        <w:t>End of Year Report from Standing Committee Chairs</w:t>
      </w:r>
    </w:p>
    <w:p w:rsidR="00F74031" w:rsidRDefault="00210BD9">
      <w:pPr>
        <w:numPr>
          <w:ilvl w:val="0"/>
          <w:numId w:val="2"/>
        </w:numPr>
        <w:pBdr>
          <w:top w:val="nil"/>
          <w:left w:val="nil"/>
          <w:bottom w:val="nil"/>
          <w:right w:val="nil"/>
          <w:between w:val="nil"/>
        </w:pBdr>
      </w:pPr>
      <w:r>
        <w:rPr>
          <w:color w:val="000000"/>
        </w:rPr>
        <w:t xml:space="preserve">Faculty Assembly’s three Standing Committees, as well as the ad hoc Lecturer Affairs Committee, gave an overview of their End of Year reports. </w:t>
      </w:r>
    </w:p>
    <w:p w:rsidR="00F74031" w:rsidRDefault="00210BD9">
      <w:pPr>
        <w:numPr>
          <w:ilvl w:val="1"/>
          <w:numId w:val="2"/>
        </w:numPr>
        <w:pBdr>
          <w:top w:val="nil"/>
          <w:left w:val="nil"/>
          <w:bottom w:val="nil"/>
          <w:right w:val="nil"/>
          <w:between w:val="nil"/>
        </w:pBdr>
      </w:pPr>
      <w:r>
        <w:rPr>
          <w:color w:val="000000"/>
        </w:rPr>
        <w:t>Academic Policy and Curriculum Committee</w:t>
      </w:r>
    </w:p>
    <w:p w:rsidR="00F74031" w:rsidRDefault="00210BD9">
      <w:pPr>
        <w:numPr>
          <w:ilvl w:val="1"/>
          <w:numId w:val="2"/>
        </w:numPr>
        <w:pBdr>
          <w:top w:val="nil"/>
          <w:left w:val="nil"/>
          <w:bottom w:val="nil"/>
          <w:right w:val="nil"/>
          <w:between w:val="nil"/>
        </w:pBdr>
      </w:pPr>
      <w:r>
        <w:rPr>
          <w:color w:val="000000"/>
        </w:rPr>
        <w:t>Appointment, Promotion and Tenure Committee</w:t>
      </w:r>
    </w:p>
    <w:p w:rsidR="00F74031" w:rsidRDefault="00210BD9">
      <w:pPr>
        <w:numPr>
          <w:ilvl w:val="1"/>
          <w:numId w:val="2"/>
        </w:numPr>
        <w:pBdr>
          <w:top w:val="nil"/>
          <w:left w:val="nil"/>
          <w:bottom w:val="nil"/>
          <w:right w:val="nil"/>
          <w:between w:val="nil"/>
        </w:pBdr>
      </w:pPr>
      <w:r>
        <w:rPr>
          <w:color w:val="000000"/>
        </w:rPr>
        <w:t xml:space="preserve">Faculty Affairs Committee </w:t>
      </w:r>
    </w:p>
    <w:p w:rsidR="00F74031" w:rsidRDefault="00210BD9">
      <w:pPr>
        <w:numPr>
          <w:ilvl w:val="0"/>
          <w:numId w:val="2"/>
        </w:numPr>
        <w:pBdr>
          <w:top w:val="nil"/>
          <w:left w:val="nil"/>
          <w:bottom w:val="nil"/>
          <w:right w:val="nil"/>
          <w:between w:val="nil"/>
        </w:pBdr>
      </w:pPr>
      <w:r>
        <w:rPr>
          <w:color w:val="000000"/>
        </w:rPr>
        <w:lastRenderedPageBreak/>
        <w:t xml:space="preserve">Committee members expressed appreciation for the work of each standing committee chair. </w:t>
      </w:r>
    </w:p>
    <w:p w:rsidR="00F74031" w:rsidRDefault="00210BD9">
      <w:pPr>
        <w:numPr>
          <w:ilvl w:val="0"/>
          <w:numId w:val="2"/>
        </w:numPr>
        <w:pBdr>
          <w:top w:val="nil"/>
          <w:left w:val="nil"/>
          <w:bottom w:val="nil"/>
          <w:right w:val="nil"/>
          <w:between w:val="nil"/>
        </w:pBdr>
      </w:pPr>
      <w:r>
        <w:rPr>
          <w:color w:val="000000"/>
        </w:rPr>
        <w:t>End of Year Reports from Standing Committees will be available on the Faculty Assembly website.</w:t>
      </w:r>
    </w:p>
    <w:p w:rsidR="00F74031" w:rsidRDefault="00F74031">
      <w:pPr>
        <w:pBdr>
          <w:top w:val="nil"/>
          <w:left w:val="nil"/>
          <w:bottom w:val="nil"/>
          <w:right w:val="nil"/>
          <w:between w:val="nil"/>
        </w:pBdr>
        <w:ind w:left="720" w:hanging="720"/>
        <w:rPr>
          <w:color w:val="000000"/>
        </w:rPr>
      </w:pPr>
    </w:p>
    <w:p w:rsidR="00F74031" w:rsidRDefault="00210BD9">
      <w:pPr>
        <w:numPr>
          <w:ilvl w:val="0"/>
          <w:numId w:val="14"/>
        </w:numPr>
        <w:pBdr>
          <w:top w:val="nil"/>
          <w:left w:val="nil"/>
          <w:bottom w:val="nil"/>
          <w:right w:val="nil"/>
          <w:between w:val="nil"/>
        </w:pBdr>
        <w:tabs>
          <w:tab w:val="left" w:pos="810"/>
        </w:tabs>
        <w:ind w:left="360" w:firstLine="0"/>
        <w:rPr>
          <w:b/>
          <w:color w:val="000000"/>
          <w:u w:val="single"/>
        </w:rPr>
      </w:pPr>
      <w:r>
        <w:rPr>
          <w:b/>
          <w:color w:val="000000"/>
          <w:u w:val="single"/>
        </w:rPr>
        <w:t>Lecturer Affairs Committee in 2019-2020 (vote)</w:t>
      </w:r>
    </w:p>
    <w:p w:rsidR="00F74031" w:rsidRDefault="00210BD9">
      <w:pPr>
        <w:numPr>
          <w:ilvl w:val="0"/>
          <w:numId w:val="6"/>
        </w:numPr>
        <w:pBdr>
          <w:top w:val="nil"/>
          <w:left w:val="nil"/>
          <w:bottom w:val="nil"/>
          <w:right w:val="nil"/>
          <w:between w:val="nil"/>
        </w:pBdr>
        <w:tabs>
          <w:tab w:val="left" w:pos="810"/>
        </w:tabs>
        <w:rPr>
          <w:b/>
          <w:i/>
          <w:color w:val="000000"/>
          <w:u w:val="single"/>
        </w:rPr>
      </w:pPr>
      <w:r>
        <w:rPr>
          <w:color w:val="000000"/>
        </w:rPr>
        <w:t>Lecturer Affairs Committee will return in 2019-2020 as an ad hoc committee with the same charge.</w:t>
      </w:r>
    </w:p>
    <w:p w:rsidR="00F74031" w:rsidRDefault="00210BD9">
      <w:pPr>
        <w:numPr>
          <w:ilvl w:val="0"/>
          <w:numId w:val="6"/>
        </w:numPr>
        <w:pBdr>
          <w:top w:val="nil"/>
          <w:left w:val="nil"/>
          <w:bottom w:val="nil"/>
          <w:right w:val="nil"/>
          <w:between w:val="nil"/>
        </w:pBdr>
        <w:tabs>
          <w:tab w:val="left" w:pos="810"/>
        </w:tabs>
        <w:rPr>
          <w:b/>
          <w:i/>
          <w:color w:val="000000"/>
          <w:u w:val="single"/>
        </w:rPr>
      </w:pPr>
      <w:r>
        <w:rPr>
          <w:color w:val="000000"/>
        </w:rPr>
        <w:t>Motion to approve Lecturer Affairs Committee in 2019-2020</w:t>
      </w:r>
    </w:p>
    <w:p w:rsidR="00F74031" w:rsidRDefault="00210BD9">
      <w:pPr>
        <w:pBdr>
          <w:top w:val="nil"/>
          <w:left w:val="nil"/>
          <w:bottom w:val="nil"/>
          <w:right w:val="nil"/>
          <w:between w:val="nil"/>
        </w:pBdr>
        <w:tabs>
          <w:tab w:val="left" w:pos="810"/>
        </w:tabs>
        <w:ind w:left="720" w:hanging="720"/>
        <w:rPr>
          <w:i/>
          <w:color w:val="000000"/>
        </w:rPr>
      </w:pPr>
      <w:r>
        <w:rPr>
          <w:i/>
          <w:color w:val="000000"/>
        </w:rPr>
        <w:t>14 yes, 0 abstain, 0 no</w:t>
      </w:r>
    </w:p>
    <w:p w:rsidR="00F74031" w:rsidRDefault="00F74031">
      <w:pPr>
        <w:pBdr>
          <w:top w:val="nil"/>
          <w:left w:val="nil"/>
          <w:bottom w:val="nil"/>
          <w:right w:val="nil"/>
          <w:between w:val="nil"/>
        </w:pBdr>
        <w:tabs>
          <w:tab w:val="left" w:pos="810"/>
        </w:tabs>
        <w:ind w:left="720" w:hanging="720"/>
        <w:rPr>
          <w:b/>
          <w:color w:val="000000"/>
          <w:u w:val="single"/>
        </w:rPr>
      </w:pPr>
    </w:p>
    <w:p w:rsidR="00F74031" w:rsidRDefault="00210BD9">
      <w:pPr>
        <w:numPr>
          <w:ilvl w:val="0"/>
          <w:numId w:val="14"/>
        </w:numPr>
        <w:pBdr>
          <w:top w:val="nil"/>
          <w:left w:val="nil"/>
          <w:bottom w:val="nil"/>
          <w:right w:val="nil"/>
          <w:between w:val="nil"/>
        </w:pBdr>
        <w:rPr>
          <w:b/>
          <w:color w:val="000000"/>
          <w:u w:val="single"/>
        </w:rPr>
      </w:pPr>
      <w:r>
        <w:rPr>
          <w:b/>
          <w:color w:val="000000"/>
          <w:u w:val="single"/>
        </w:rPr>
        <w:t>Key Topics</w:t>
      </w:r>
    </w:p>
    <w:p w:rsidR="00F74031" w:rsidRDefault="00210BD9">
      <w:pPr>
        <w:numPr>
          <w:ilvl w:val="0"/>
          <w:numId w:val="5"/>
        </w:numPr>
        <w:pBdr>
          <w:top w:val="nil"/>
          <w:left w:val="nil"/>
          <w:bottom w:val="nil"/>
          <w:right w:val="nil"/>
          <w:between w:val="nil"/>
        </w:pBdr>
      </w:pPr>
      <w:r>
        <w:rPr>
          <w:color w:val="000000"/>
        </w:rPr>
        <w:t>2018-2023 Academic Plan (vote)</w:t>
      </w:r>
    </w:p>
    <w:p w:rsidR="00F74031" w:rsidRDefault="00210BD9">
      <w:pPr>
        <w:numPr>
          <w:ilvl w:val="0"/>
          <w:numId w:val="5"/>
        </w:numPr>
        <w:pBdr>
          <w:top w:val="nil"/>
          <w:left w:val="nil"/>
          <w:bottom w:val="nil"/>
          <w:right w:val="nil"/>
          <w:between w:val="nil"/>
        </w:pBdr>
      </w:pPr>
      <w:r>
        <w:rPr>
          <w:color w:val="000000"/>
        </w:rPr>
        <w:t>2018-2019 Standing Committee Reports</w:t>
      </w:r>
    </w:p>
    <w:p w:rsidR="00F74031" w:rsidRDefault="00210BD9">
      <w:pPr>
        <w:numPr>
          <w:ilvl w:val="0"/>
          <w:numId w:val="5"/>
        </w:numPr>
        <w:pBdr>
          <w:top w:val="nil"/>
          <w:left w:val="nil"/>
          <w:bottom w:val="nil"/>
          <w:right w:val="nil"/>
          <w:between w:val="nil"/>
        </w:pBdr>
      </w:pPr>
      <w:r>
        <w:rPr>
          <w:color w:val="000000"/>
        </w:rPr>
        <w:t>Steering Committee on Tri-Campus Relationships (vote)</w:t>
      </w:r>
    </w:p>
    <w:p w:rsidR="00F74031" w:rsidRDefault="00210BD9">
      <w:pPr>
        <w:numPr>
          <w:ilvl w:val="0"/>
          <w:numId w:val="5"/>
        </w:numPr>
        <w:pBdr>
          <w:top w:val="nil"/>
          <w:left w:val="nil"/>
          <w:bottom w:val="nil"/>
          <w:right w:val="nil"/>
          <w:between w:val="nil"/>
        </w:pBdr>
      </w:pPr>
      <w:r>
        <w:rPr>
          <w:color w:val="000000"/>
        </w:rPr>
        <w:t>Election of Research Advisory Committee members (vote)</w:t>
      </w:r>
    </w:p>
    <w:p w:rsidR="00F74031" w:rsidRDefault="00210BD9">
      <w:pPr>
        <w:numPr>
          <w:ilvl w:val="0"/>
          <w:numId w:val="5"/>
        </w:numPr>
        <w:pBdr>
          <w:top w:val="nil"/>
          <w:left w:val="nil"/>
          <w:bottom w:val="nil"/>
          <w:right w:val="nil"/>
          <w:between w:val="nil"/>
        </w:pBdr>
      </w:pPr>
      <w:r>
        <w:rPr>
          <w:color w:val="000000"/>
        </w:rPr>
        <w:t>Lecturer Affairs Committee: Returning for 2019-2020 as an ad hoc committee (vote)</w:t>
      </w:r>
    </w:p>
    <w:p w:rsidR="00F74031" w:rsidRDefault="00210BD9">
      <w:pPr>
        <w:numPr>
          <w:ilvl w:val="0"/>
          <w:numId w:val="5"/>
        </w:numPr>
        <w:pBdr>
          <w:top w:val="nil"/>
          <w:left w:val="nil"/>
          <w:bottom w:val="nil"/>
          <w:right w:val="nil"/>
          <w:between w:val="nil"/>
        </w:pBdr>
      </w:pPr>
      <w:r>
        <w:rPr>
          <w:color w:val="000000"/>
        </w:rPr>
        <w:t>EVCAA Report – Explanation of FY20 budget adjustments in Academic Affairs</w:t>
      </w:r>
    </w:p>
    <w:p w:rsidR="00F74031" w:rsidRDefault="00F74031">
      <w:pPr>
        <w:pBdr>
          <w:top w:val="nil"/>
          <w:left w:val="nil"/>
          <w:bottom w:val="nil"/>
          <w:right w:val="nil"/>
          <w:between w:val="nil"/>
        </w:pBdr>
        <w:ind w:left="360"/>
      </w:pPr>
    </w:p>
    <w:p w:rsidR="00F74031" w:rsidRDefault="00210BD9">
      <w:pPr>
        <w:pBdr>
          <w:top w:val="nil"/>
          <w:left w:val="nil"/>
          <w:bottom w:val="nil"/>
          <w:right w:val="nil"/>
          <w:between w:val="nil"/>
        </w:pBdr>
        <w:ind w:left="360"/>
      </w:pPr>
      <w:r>
        <w:t>Passed 2 Policies:</w:t>
      </w:r>
    </w:p>
    <w:p w:rsidR="00F74031" w:rsidRDefault="00210BD9">
      <w:pPr>
        <w:numPr>
          <w:ilvl w:val="0"/>
          <w:numId w:val="7"/>
        </w:numPr>
        <w:pBdr>
          <w:top w:val="nil"/>
          <w:left w:val="nil"/>
          <w:bottom w:val="nil"/>
          <w:right w:val="nil"/>
          <w:between w:val="nil"/>
        </w:pBdr>
      </w:pPr>
      <w:r>
        <w:rPr>
          <w:color w:val="000000"/>
        </w:rPr>
        <w:t>2018-2023 Academic Plan</w:t>
      </w:r>
    </w:p>
    <w:p w:rsidR="00F74031" w:rsidRDefault="00210BD9">
      <w:pPr>
        <w:numPr>
          <w:ilvl w:val="0"/>
          <w:numId w:val="7"/>
        </w:numPr>
        <w:pBdr>
          <w:top w:val="nil"/>
          <w:left w:val="nil"/>
          <w:bottom w:val="nil"/>
          <w:right w:val="nil"/>
          <w:between w:val="nil"/>
        </w:pBdr>
      </w:pPr>
      <w:r>
        <w:rPr>
          <w:color w:val="000000"/>
        </w:rPr>
        <w:t>Steering Committee on Tri-Campus Relationships</w:t>
      </w:r>
    </w:p>
    <w:p w:rsidR="00F74031" w:rsidRDefault="00F74031">
      <w:pPr>
        <w:pBdr>
          <w:top w:val="nil"/>
          <w:left w:val="nil"/>
          <w:bottom w:val="nil"/>
          <w:right w:val="nil"/>
          <w:between w:val="nil"/>
        </w:pBdr>
        <w:ind w:left="720" w:hanging="720"/>
        <w:rPr>
          <w:color w:val="000000"/>
        </w:rPr>
      </w:pPr>
    </w:p>
    <w:p w:rsidR="00F74031" w:rsidRDefault="00210BD9">
      <w:pPr>
        <w:pBdr>
          <w:top w:val="nil"/>
          <w:left w:val="nil"/>
          <w:bottom w:val="nil"/>
          <w:right w:val="nil"/>
          <w:between w:val="nil"/>
        </w:pBdr>
        <w:ind w:left="360" w:hanging="720"/>
        <w:rPr>
          <w:color w:val="000000"/>
        </w:rPr>
      </w:pPr>
      <w:r>
        <w:rPr>
          <w:color w:val="000000"/>
        </w:rPr>
        <w:t>Thanks to all who served on Executive Council with terms ending in 2019!</w:t>
      </w:r>
    </w:p>
    <w:p w:rsidR="00F74031" w:rsidRDefault="00F74031">
      <w:pPr>
        <w:pBdr>
          <w:top w:val="nil"/>
          <w:left w:val="nil"/>
          <w:bottom w:val="nil"/>
          <w:right w:val="nil"/>
          <w:between w:val="nil"/>
        </w:pBdr>
        <w:ind w:left="360" w:hanging="720"/>
        <w:rPr>
          <w:color w:val="000000"/>
        </w:rPr>
      </w:pPr>
    </w:p>
    <w:p w:rsidR="00F74031" w:rsidRDefault="00210BD9">
      <w:pPr>
        <w:numPr>
          <w:ilvl w:val="0"/>
          <w:numId w:val="14"/>
        </w:numPr>
        <w:pBdr>
          <w:top w:val="nil"/>
          <w:left w:val="nil"/>
          <w:bottom w:val="nil"/>
          <w:right w:val="nil"/>
          <w:between w:val="nil"/>
        </w:pBdr>
        <w:rPr>
          <w:b/>
          <w:color w:val="000000"/>
          <w:u w:val="single"/>
        </w:rPr>
      </w:pPr>
      <w:r>
        <w:rPr>
          <w:b/>
          <w:color w:val="000000"/>
          <w:u w:val="single"/>
        </w:rPr>
        <w:t xml:space="preserve"> Adjournment</w:t>
      </w:r>
    </w:p>
    <w:p w:rsidR="00F74031" w:rsidRDefault="00210BD9">
      <w:pPr>
        <w:numPr>
          <w:ilvl w:val="0"/>
          <w:numId w:val="16"/>
        </w:numPr>
        <w:pBdr>
          <w:top w:val="nil"/>
          <w:left w:val="nil"/>
          <w:bottom w:val="nil"/>
          <w:right w:val="nil"/>
          <w:between w:val="nil"/>
        </w:pBdr>
        <w:rPr>
          <w:color w:val="000000"/>
        </w:rPr>
      </w:pPr>
      <w:r>
        <w:rPr>
          <w:color w:val="000000"/>
        </w:rPr>
        <w:t xml:space="preserve">The meeting adjourned at 2:27 p.m.  </w:t>
      </w:r>
    </w:p>
    <w:p w:rsidR="00F74031" w:rsidRDefault="00210BD9">
      <w:pPr>
        <w:numPr>
          <w:ilvl w:val="0"/>
          <w:numId w:val="16"/>
        </w:numPr>
        <w:pBdr>
          <w:top w:val="nil"/>
          <w:left w:val="nil"/>
          <w:bottom w:val="nil"/>
          <w:right w:val="nil"/>
          <w:between w:val="nil"/>
        </w:pBdr>
        <w:rPr>
          <w:color w:val="000000"/>
        </w:rPr>
      </w:pPr>
      <w:r>
        <w:rPr>
          <w:color w:val="000000"/>
        </w:rPr>
        <w:t>This was the last Executive Council meeting of the 2018-2019 academic year. The next meeting of Executive Council will be September 30, 2019 from 12:30-1:20 p.m. in GWP 320.</w:t>
      </w:r>
    </w:p>
    <w:p w:rsidR="00F74031" w:rsidRDefault="00F74031">
      <w:pPr>
        <w:pBdr>
          <w:top w:val="nil"/>
          <w:left w:val="nil"/>
          <w:bottom w:val="nil"/>
          <w:right w:val="nil"/>
          <w:between w:val="nil"/>
        </w:pBdr>
        <w:rPr>
          <w:color w:val="000000"/>
        </w:rPr>
      </w:pPr>
    </w:p>
    <w:p w:rsidR="00F74031" w:rsidRDefault="00210BD9">
      <w:pPr>
        <w:spacing w:after="160" w:line="259" w:lineRule="auto"/>
        <w:rPr>
          <w:color w:val="000000"/>
        </w:rPr>
      </w:pPr>
      <w:r>
        <w:br w:type="page"/>
      </w:r>
    </w:p>
    <w:p w:rsidR="00F74031" w:rsidRDefault="00210BD9">
      <w:pPr>
        <w:pBdr>
          <w:top w:val="nil"/>
          <w:left w:val="nil"/>
          <w:bottom w:val="nil"/>
          <w:right w:val="nil"/>
          <w:between w:val="nil"/>
        </w:pBdr>
        <w:jc w:val="center"/>
        <w:rPr>
          <w:b/>
          <w:color w:val="000000"/>
        </w:rPr>
      </w:pPr>
      <w:r>
        <w:rPr>
          <w:b/>
          <w:color w:val="000000"/>
        </w:rPr>
        <w:lastRenderedPageBreak/>
        <w:t>Appendix A</w:t>
      </w:r>
    </w:p>
    <w:p w:rsidR="00F74031" w:rsidRDefault="00210BD9">
      <w:pPr>
        <w:spacing w:line="276" w:lineRule="auto"/>
        <w:jc w:val="center"/>
        <w:rPr>
          <w:rFonts w:ascii="Open Sans" w:eastAsia="Open Sans" w:hAnsi="Open Sans" w:cs="Open Sans"/>
          <w:b/>
          <w:sz w:val="28"/>
          <w:szCs w:val="28"/>
        </w:rPr>
      </w:pPr>
      <w:r>
        <w:rPr>
          <w:rFonts w:ascii="Open Sans" w:eastAsia="Open Sans" w:hAnsi="Open Sans" w:cs="Open Sans"/>
          <w:b/>
          <w:sz w:val="28"/>
          <w:szCs w:val="28"/>
        </w:rPr>
        <w:t>University of Washington Tacoma</w:t>
      </w:r>
    </w:p>
    <w:p w:rsidR="00F74031" w:rsidRDefault="00210BD9">
      <w:pPr>
        <w:spacing w:line="276" w:lineRule="auto"/>
        <w:jc w:val="center"/>
        <w:rPr>
          <w:rFonts w:ascii="Open Sans" w:eastAsia="Open Sans" w:hAnsi="Open Sans" w:cs="Open Sans"/>
          <w:b/>
          <w:sz w:val="28"/>
          <w:szCs w:val="28"/>
        </w:rPr>
      </w:pPr>
      <w:r>
        <w:rPr>
          <w:rFonts w:ascii="Open Sans" w:eastAsia="Open Sans" w:hAnsi="Open Sans" w:cs="Open Sans"/>
          <w:b/>
          <w:sz w:val="28"/>
          <w:szCs w:val="28"/>
        </w:rPr>
        <w:t>2018-2023 Academic Plan</w:t>
      </w:r>
    </w:p>
    <w:p w:rsidR="00F74031" w:rsidRDefault="00210BD9">
      <w:pPr>
        <w:pBdr>
          <w:top w:val="nil"/>
          <w:left w:val="nil"/>
          <w:bottom w:val="nil"/>
          <w:right w:val="nil"/>
          <w:between w:val="nil"/>
        </w:pBdr>
        <w:tabs>
          <w:tab w:val="center" w:pos="4680"/>
          <w:tab w:val="right" w:pos="9360"/>
        </w:tabs>
        <w:jc w:val="center"/>
        <w:rPr>
          <w:rFonts w:ascii="Open Sans" w:eastAsia="Open Sans" w:hAnsi="Open Sans" w:cs="Open Sans"/>
          <w:i/>
          <w:color w:val="000000"/>
          <w:sz w:val="22"/>
          <w:szCs w:val="22"/>
        </w:rPr>
      </w:pPr>
      <w:r>
        <w:rPr>
          <w:rFonts w:ascii="Open Sans" w:eastAsia="Open Sans" w:hAnsi="Open Sans" w:cs="Open Sans"/>
          <w:i/>
          <w:color w:val="000000"/>
          <w:sz w:val="22"/>
          <w:szCs w:val="22"/>
        </w:rPr>
        <w:t>Approved by the Faculty Assembly Executive Council on 06.03.19</w:t>
      </w:r>
    </w:p>
    <w:p w:rsidR="00F74031" w:rsidRDefault="00F74031">
      <w:pPr>
        <w:spacing w:line="276" w:lineRule="auto"/>
        <w:rPr>
          <w:rFonts w:ascii="Open Sans" w:eastAsia="Open Sans" w:hAnsi="Open Sans" w:cs="Open Sans"/>
          <w:b/>
          <w:sz w:val="22"/>
          <w:szCs w:val="22"/>
        </w:rPr>
      </w:pPr>
    </w:p>
    <w:p w:rsidR="00F74031" w:rsidRDefault="00F74031">
      <w:pPr>
        <w:rPr>
          <w:rFonts w:ascii="Open Sans" w:eastAsia="Open Sans" w:hAnsi="Open Sans" w:cs="Open Sans"/>
          <w:b/>
          <w:sz w:val="22"/>
          <w:szCs w:val="22"/>
        </w:rPr>
      </w:pPr>
    </w:p>
    <w:p w:rsidR="00F74031" w:rsidRDefault="00210BD9">
      <w:pPr>
        <w:rPr>
          <w:rFonts w:ascii="Open Sans" w:eastAsia="Open Sans" w:hAnsi="Open Sans" w:cs="Open Sans"/>
          <w:sz w:val="22"/>
          <w:szCs w:val="22"/>
        </w:rPr>
      </w:pPr>
      <w:r>
        <w:rPr>
          <w:rFonts w:ascii="Open Sans" w:eastAsia="Open Sans" w:hAnsi="Open Sans" w:cs="Open Sans"/>
          <w:b/>
          <w:sz w:val="22"/>
          <w:szCs w:val="22"/>
        </w:rPr>
        <w:t>Table of Contents</w:t>
      </w:r>
    </w:p>
    <w:p w:rsidR="00F74031" w:rsidRDefault="00F74031">
      <w:pPr>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Purpose</w:t>
      </w:r>
      <w:r>
        <w:rPr>
          <w:rFonts w:ascii="Open Sans" w:eastAsia="Open Sans" w:hAnsi="Open Sans" w:cs="Open Sans"/>
          <w:sz w:val="22"/>
          <w:szCs w:val="22"/>
        </w:rPr>
        <w:tab/>
        <w:t xml:space="preserve"> 1</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Planning Process</w:t>
      </w:r>
      <w:r>
        <w:rPr>
          <w:rFonts w:ascii="Open Sans" w:eastAsia="Open Sans" w:hAnsi="Open Sans" w:cs="Open Sans"/>
          <w:sz w:val="22"/>
          <w:szCs w:val="22"/>
        </w:rPr>
        <w:tab/>
        <w:t xml:space="preserve"> 2</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Curricular Plan</w:t>
      </w:r>
      <w:r>
        <w:rPr>
          <w:rFonts w:ascii="Open Sans" w:eastAsia="Open Sans" w:hAnsi="Open Sans" w:cs="Open Sans"/>
          <w:sz w:val="22"/>
          <w:szCs w:val="22"/>
        </w:rPr>
        <w:tab/>
        <w:t xml:space="preserve"> 3</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 xml:space="preserve">     New Academic Offerings</w:t>
      </w:r>
      <w:r>
        <w:rPr>
          <w:rFonts w:ascii="Open Sans" w:eastAsia="Open Sans" w:hAnsi="Open Sans" w:cs="Open Sans"/>
          <w:sz w:val="22"/>
          <w:szCs w:val="22"/>
        </w:rPr>
        <w:tab/>
        <w:t xml:space="preserve"> 3</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 xml:space="preserve">     Academic Program Changes</w:t>
      </w:r>
      <w:r>
        <w:rPr>
          <w:rFonts w:ascii="Open Sans" w:eastAsia="Open Sans" w:hAnsi="Open Sans" w:cs="Open Sans"/>
          <w:sz w:val="22"/>
          <w:szCs w:val="22"/>
        </w:rPr>
        <w:tab/>
        <w:t xml:space="preserve"> 4</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Academic Support Plan</w:t>
      </w:r>
      <w:r>
        <w:rPr>
          <w:rFonts w:ascii="Open Sans" w:eastAsia="Open Sans" w:hAnsi="Open Sans" w:cs="Open Sans"/>
          <w:sz w:val="22"/>
          <w:szCs w:val="22"/>
        </w:rPr>
        <w:tab/>
        <w:t xml:space="preserve"> 5</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 xml:space="preserve">     Student Learning</w:t>
      </w:r>
      <w:r>
        <w:rPr>
          <w:rFonts w:ascii="Open Sans" w:eastAsia="Open Sans" w:hAnsi="Open Sans" w:cs="Open Sans"/>
          <w:sz w:val="22"/>
          <w:szCs w:val="22"/>
        </w:rPr>
        <w:tab/>
        <w:t xml:space="preserve"> 5</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 xml:space="preserve">     Scholarship</w:t>
      </w:r>
      <w:r>
        <w:rPr>
          <w:rFonts w:ascii="Open Sans" w:eastAsia="Open Sans" w:hAnsi="Open Sans" w:cs="Open Sans"/>
          <w:sz w:val="22"/>
          <w:szCs w:val="22"/>
        </w:rPr>
        <w:tab/>
        <w:t xml:space="preserve"> 5</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 xml:space="preserve">     Training and Development</w:t>
      </w:r>
      <w:r>
        <w:rPr>
          <w:rFonts w:ascii="Open Sans" w:eastAsia="Open Sans" w:hAnsi="Open Sans" w:cs="Open Sans"/>
          <w:sz w:val="22"/>
          <w:szCs w:val="22"/>
        </w:rPr>
        <w:tab/>
        <w:t xml:space="preserve"> 6</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Appendix 1. Stage 1 Criteria and Rubric for Existing Program Evaluation</w:t>
      </w:r>
      <w:r>
        <w:rPr>
          <w:rFonts w:ascii="Open Sans" w:eastAsia="Open Sans" w:hAnsi="Open Sans" w:cs="Open Sans"/>
          <w:sz w:val="22"/>
          <w:szCs w:val="22"/>
        </w:rPr>
        <w:tab/>
        <w:t>7</w:t>
      </w:r>
    </w:p>
    <w:p w:rsidR="00F74031" w:rsidRDefault="00F74031">
      <w:pPr>
        <w:tabs>
          <w:tab w:val="left" w:pos="8640"/>
        </w:tabs>
        <w:rPr>
          <w:rFonts w:ascii="Open Sans" w:eastAsia="Open Sans" w:hAnsi="Open Sans" w:cs="Open Sans"/>
          <w:sz w:val="22"/>
          <w:szCs w:val="22"/>
        </w:rPr>
      </w:pPr>
    </w:p>
    <w:p w:rsidR="00F74031" w:rsidRDefault="00210BD9">
      <w:pPr>
        <w:tabs>
          <w:tab w:val="left" w:pos="8640"/>
        </w:tabs>
        <w:rPr>
          <w:rFonts w:ascii="Open Sans" w:eastAsia="Open Sans" w:hAnsi="Open Sans" w:cs="Open Sans"/>
          <w:sz w:val="22"/>
          <w:szCs w:val="22"/>
        </w:rPr>
      </w:pPr>
      <w:r>
        <w:rPr>
          <w:rFonts w:ascii="Open Sans" w:eastAsia="Open Sans" w:hAnsi="Open Sans" w:cs="Open Sans"/>
          <w:sz w:val="22"/>
          <w:szCs w:val="22"/>
        </w:rPr>
        <w:t xml:space="preserve">Appendix 2. Stage 2 Outcomes Presented to Faculty in </w:t>
      </w:r>
      <w:proofErr w:type="gramStart"/>
      <w:r>
        <w:rPr>
          <w:rFonts w:ascii="Open Sans" w:eastAsia="Open Sans" w:hAnsi="Open Sans" w:cs="Open Sans"/>
          <w:sz w:val="22"/>
          <w:szCs w:val="22"/>
        </w:rPr>
        <w:t>Spring</w:t>
      </w:r>
      <w:proofErr w:type="gramEnd"/>
      <w:r>
        <w:rPr>
          <w:rFonts w:ascii="Open Sans" w:eastAsia="Open Sans" w:hAnsi="Open Sans" w:cs="Open Sans"/>
          <w:sz w:val="22"/>
          <w:szCs w:val="22"/>
        </w:rPr>
        <w:t xml:space="preserve"> 2018</w:t>
      </w:r>
      <w:r>
        <w:rPr>
          <w:rFonts w:ascii="Open Sans" w:eastAsia="Open Sans" w:hAnsi="Open Sans" w:cs="Open Sans"/>
          <w:sz w:val="22"/>
          <w:szCs w:val="22"/>
        </w:rPr>
        <w:tab/>
        <w:t>10</w:t>
      </w:r>
    </w:p>
    <w:p w:rsidR="00F74031" w:rsidRDefault="00F74031">
      <w:pPr>
        <w:tabs>
          <w:tab w:val="left" w:pos="8640"/>
        </w:tabs>
        <w:rPr>
          <w:rFonts w:ascii="Open Sans" w:eastAsia="Open Sans" w:hAnsi="Open Sans" w:cs="Open Sans"/>
          <w:sz w:val="22"/>
          <w:szCs w:val="22"/>
        </w:rPr>
      </w:pPr>
    </w:p>
    <w:p w:rsidR="00F74031" w:rsidRDefault="00F74031">
      <w:pPr>
        <w:rPr>
          <w:rFonts w:ascii="Open Sans" w:eastAsia="Open Sans" w:hAnsi="Open Sans" w:cs="Open Sans"/>
          <w:b/>
          <w:sz w:val="22"/>
          <w:szCs w:val="22"/>
        </w:rPr>
      </w:pPr>
    </w:p>
    <w:p w:rsidR="00F74031" w:rsidRDefault="00F74031">
      <w:pPr>
        <w:rPr>
          <w:rFonts w:ascii="Open Sans" w:eastAsia="Open Sans" w:hAnsi="Open Sans" w:cs="Open Sans"/>
          <w:b/>
          <w:sz w:val="22"/>
          <w:szCs w:val="22"/>
        </w:rPr>
      </w:pPr>
    </w:p>
    <w:p w:rsidR="00F74031" w:rsidRDefault="00210BD9">
      <w:pPr>
        <w:rPr>
          <w:rFonts w:ascii="Open Sans" w:eastAsia="Open Sans" w:hAnsi="Open Sans" w:cs="Open Sans"/>
          <w:b/>
          <w:sz w:val="22"/>
          <w:szCs w:val="22"/>
        </w:rPr>
      </w:pPr>
      <w:r>
        <w:br w:type="page"/>
      </w:r>
    </w:p>
    <w:p w:rsidR="00F74031" w:rsidRDefault="00210BD9">
      <w:pPr>
        <w:spacing w:line="276" w:lineRule="auto"/>
        <w:jc w:val="center"/>
        <w:rPr>
          <w:rFonts w:ascii="Open Sans" w:eastAsia="Open Sans" w:hAnsi="Open Sans" w:cs="Open Sans"/>
          <w:b/>
          <w:sz w:val="28"/>
          <w:szCs w:val="28"/>
        </w:rPr>
      </w:pPr>
      <w:r>
        <w:rPr>
          <w:rFonts w:ascii="Open Sans" w:eastAsia="Open Sans" w:hAnsi="Open Sans" w:cs="Open Sans"/>
          <w:b/>
          <w:sz w:val="28"/>
          <w:szCs w:val="28"/>
        </w:rPr>
        <w:lastRenderedPageBreak/>
        <w:t>University of Washington Tacoma</w:t>
      </w:r>
    </w:p>
    <w:p w:rsidR="00F74031" w:rsidRDefault="00210BD9">
      <w:pPr>
        <w:spacing w:line="276" w:lineRule="auto"/>
        <w:jc w:val="center"/>
        <w:rPr>
          <w:rFonts w:ascii="Open Sans" w:eastAsia="Open Sans" w:hAnsi="Open Sans" w:cs="Open Sans"/>
          <w:b/>
          <w:sz w:val="28"/>
          <w:szCs w:val="28"/>
        </w:rPr>
      </w:pPr>
      <w:r>
        <w:rPr>
          <w:rFonts w:ascii="Open Sans" w:eastAsia="Open Sans" w:hAnsi="Open Sans" w:cs="Open Sans"/>
          <w:b/>
          <w:sz w:val="28"/>
          <w:szCs w:val="28"/>
        </w:rPr>
        <w:t>2018-2023 Academic Plan</w:t>
      </w:r>
    </w:p>
    <w:p w:rsidR="00F74031" w:rsidRDefault="00F74031">
      <w:pPr>
        <w:spacing w:line="276" w:lineRule="auto"/>
        <w:rPr>
          <w:rFonts w:ascii="Open Sans" w:eastAsia="Open Sans" w:hAnsi="Open Sans" w:cs="Open Sans"/>
          <w:b/>
          <w:sz w:val="22"/>
          <w:szCs w:val="22"/>
        </w:rPr>
      </w:pPr>
    </w:p>
    <w:p w:rsidR="00F74031" w:rsidRDefault="00210BD9">
      <w:pPr>
        <w:spacing w:line="276" w:lineRule="auto"/>
        <w:rPr>
          <w:rFonts w:ascii="Open Sans" w:eastAsia="Open Sans" w:hAnsi="Open Sans" w:cs="Open Sans"/>
          <w:b/>
          <w:sz w:val="28"/>
          <w:szCs w:val="28"/>
        </w:rPr>
      </w:pPr>
      <w:r>
        <w:rPr>
          <w:rFonts w:ascii="Open Sans" w:eastAsia="Open Sans" w:hAnsi="Open Sans" w:cs="Open Sans"/>
          <w:b/>
          <w:sz w:val="28"/>
          <w:szCs w:val="28"/>
        </w:rPr>
        <w:t>PURPOSE</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UW Tacoma is a public university that fosters a thriving and equitable society by educating diverse learners and expanding knowledge through partnership and collaboration with all our communi</w:t>
      </w:r>
      <w:r>
        <w:rPr>
          <w:rFonts w:ascii="Open Sans" w:eastAsia="Open Sans" w:hAnsi="Open Sans" w:cs="Open Sans"/>
          <w:sz w:val="22"/>
          <w:szCs w:val="22"/>
        </w:rPr>
        <w:t>ties. We seek to expand access to higher education in an environment where every student has the opportunity to succeed. We foster scholarship, research, and creativity to address the challenging problems of our time and place. We partner and collaborate f</w:t>
      </w:r>
      <w:r>
        <w:rPr>
          <w:rFonts w:ascii="Open Sans" w:eastAsia="Open Sans" w:hAnsi="Open Sans" w:cs="Open Sans"/>
          <w:sz w:val="22"/>
          <w:szCs w:val="22"/>
        </w:rPr>
        <w:t>or the common good, and we catalyze the economic and social vitality of the region.</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0"/>
          <w:szCs w:val="20"/>
        </w:rPr>
      </w:pPr>
      <w:r>
        <w:rPr>
          <w:rFonts w:ascii="Open Sans" w:eastAsia="Open Sans" w:hAnsi="Open Sans" w:cs="Open Sans"/>
          <w:sz w:val="22"/>
          <w:szCs w:val="22"/>
        </w:rPr>
        <w:t xml:space="preserve">UW Tacoma’s first five-year academic plan is the product of two years of work focused on assessing existing academic programs, evaluating student and community needs, and </w:t>
      </w:r>
      <w:r>
        <w:rPr>
          <w:rFonts w:ascii="Open Sans" w:eastAsia="Open Sans" w:hAnsi="Open Sans" w:cs="Open Sans"/>
          <w:sz w:val="22"/>
          <w:szCs w:val="22"/>
        </w:rPr>
        <w:t>identifying opportunities for new and revised academic offerings and related support. It was created through a faculty driven, campus-wide evaluation of the scope and nature of our academic offerings and initiatives. Creating the plan also required looking</w:t>
      </w:r>
      <w:r>
        <w:rPr>
          <w:rFonts w:ascii="Open Sans" w:eastAsia="Open Sans" w:hAnsi="Open Sans" w:cs="Open Sans"/>
          <w:sz w:val="22"/>
          <w:szCs w:val="22"/>
        </w:rPr>
        <w:t xml:space="preserve"> outward to emergent issues and opportunities and envisioning possibilities for new avenues of discovery, teaching, application, and integration of knowledge. In the absence of an academic plan, the curricular offerings of UW Tacoma might be driven by mark</w:t>
      </w:r>
      <w:r>
        <w:rPr>
          <w:rFonts w:ascii="Open Sans" w:eastAsia="Open Sans" w:hAnsi="Open Sans" w:cs="Open Sans"/>
          <w:sz w:val="22"/>
          <w:szCs w:val="22"/>
        </w:rPr>
        <w:t>et forces and legislative initiatives to fund STEM offerings. Our academic planning process recognizes the importance of balancing growth and improvement of our existing academic activities with the creation of new trajectories for learning. The campus-wid</w:t>
      </w:r>
      <w:r>
        <w:rPr>
          <w:rFonts w:ascii="Open Sans" w:eastAsia="Open Sans" w:hAnsi="Open Sans" w:cs="Open Sans"/>
          <w:sz w:val="22"/>
          <w:szCs w:val="22"/>
        </w:rPr>
        <w:t xml:space="preserve">e planning process allowed identification of synergies and opportunities for collaboration to better support academic excellence in teaching, learning, and knowledge creation.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The 2018-2023 academic plan aligns our priorities and resources with the campu</w:t>
      </w:r>
      <w:r>
        <w:rPr>
          <w:rFonts w:ascii="Open Sans" w:eastAsia="Open Sans" w:hAnsi="Open Sans" w:cs="Open Sans"/>
          <w:sz w:val="22"/>
          <w:szCs w:val="22"/>
        </w:rPr>
        <w:t>s mission, vision and strategic plan.  The strategic priorities and impact goals reflected in this academic plan are as follows:</w:t>
      </w:r>
    </w:p>
    <w:p w:rsidR="00F74031" w:rsidRDefault="00210BD9">
      <w:pPr>
        <w:numPr>
          <w:ilvl w:val="0"/>
          <w:numId w:val="26"/>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Students – The UW Tacoma experience empowers students to achieve their dreams.</w:t>
      </w:r>
    </w:p>
    <w:p w:rsidR="00F74031" w:rsidRDefault="00210BD9">
      <w:pPr>
        <w:numPr>
          <w:ilvl w:val="0"/>
          <w:numId w:val="26"/>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Scholarship – We champion publicly engaged scholarship.</w:t>
      </w:r>
    </w:p>
    <w:p w:rsidR="00F74031" w:rsidRDefault="00210BD9">
      <w:pPr>
        <w:numPr>
          <w:ilvl w:val="0"/>
          <w:numId w:val="26"/>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Communities – Our community partnerships are transformational and synergistic.</w:t>
      </w:r>
    </w:p>
    <w:p w:rsidR="00F74031" w:rsidRDefault="00210BD9">
      <w:pPr>
        <w:numPr>
          <w:ilvl w:val="0"/>
          <w:numId w:val="26"/>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Equity – We are grounded in social justice and embrace the assets of our diverse communities.</w:t>
      </w:r>
    </w:p>
    <w:p w:rsidR="00F74031" w:rsidRDefault="00210BD9">
      <w:pPr>
        <w:numPr>
          <w:ilvl w:val="0"/>
          <w:numId w:val="26"/>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Culture – Our campus is respectful, accepting, productive and inclusive.</w:t>
      </w:r>
    </w:p>
    <w:p w:rsidR="00F74031" w:rsidRDefault="00210BD9">
      <w:pPr>
        <w:numPr>
          <w:ilvl w:val="0"/>
          <w:numId w:val="26"/>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Growth – Our innovation drives our growth, energizing us and our region.</w:t>
      </w:r>
    </w:p>
    <w:p w:rsidR="00F74031" w:rsidRDefault="00210BD9">
      <w:pPr>
        <w:spacing w:line="276" w:lineRule="auto"/>
        <w:ind w:left="360"/>
        <w:rPr>
          <w:rFonts w:ascii="Open Sans" w:eastAsia="Open Sans" w:hAnsi="Open Sans" w:cs="Open Sans"/>
          <w:sz w:val="22"/>
          <w:szCs w:val="22"/>
        </w:rPr>
      </w:pPr>
      <w:r>
        <w:rPr>
          <w:rFonts w:ascii="Open Sans" w:eastAsia="Open Sans" w:hAnsi="Open Sans" w:cs="Open Sans"/>
          <w:sz w:val="22"/>
          <w:szCs w:val="22"/>
        </w:rPr>
        <w:lastRenderedPageBreak/>
        <w:t xml:space="preserve">Source: </w:t>
      </w:r>
      <w:hyperlink r:id="rId7">
        <w:r>
          <w:rPr>
            <w:rFonts w:ascii="Open Sans" w:eastAsia="Open Sans" w:hAnsi="Open Sans" w:cs="Open Sans"/>
            <w:color w:val="0563C1"/>
            <w:sz w:val="22"/>
            <w:szCs w:val="22"/>
            <w:u w:val="single"/>
          </w:rPr>
          <w:t>UW T</w:t>
        </w:r>
        <w:r>
          <w:rPr>
            <w:rFonts w:ascii="Open Sans" w:eastAsia="Open Sans" w:hAnsi="Open Sans" w:cs="Open Sans"/>
            <w:color w:val="0563C1"/>
            <w:sz w:val="22"/>
            <w:szCs w:val="22"/>
            <w:u w:val="single"/>
          </w:rPr>
          <w:t>acoma Strategic Plan</w:t>
        </w:r>
      </w:hyperlink>
    </w:p>
    <w:p w:rsidR="00F74031" w:rsidRDefault="00F74031">
      <w:pPr>
        <w:spacing w:line="276" w:lineRule="auto"/>
        <w:rPr>
          <w:rFonts w:ascii="Open Sans" w:eastAsia="Open Sans" w:hAnsi="Open Sans" w:cs="Open Sans"/>
          <w:b/>
          <w:sz w:val="28"/>
          <w:szCs w:val="28"/>
        </w:rPr>
      </w:pPr>
    </w:p>
    <w:p w:rsidR="00F74031" w:rsidRDefault="00210BD9">
      <w:pPr>
        <w:rPr>
          <w:rFonts w:ascii="Open Sans" w:eastAsia="Open Sans" w:hAnsi="Open Sans" w:cs="Open Sans"/>
          <w:b/>
          <w:sz w:val="28"/>
          <w:szCs w:val="28"/>
        </w:rPr>
      </w:pPr>
      <w:r>
        <w:br w:type="page"/>
      </w:r>
    </w:p>
    <w:p w:rsidR="00F74031" w:rsidRDefault="00210BD9">
      <w:pPr>
        <w:spacing w:line="276" w:lineRule="auto"/>
        <w:rPr>
          <w:rFonts w:ascii="Open Sans" w:eastAsia="Open Sans" w:hAnsi="Open Sans" w:cs="Open Sans"/>
          <w:b/>
          <w:sz w:val="28"/>
          <w:szCs w:val="28"/>
        </w:rPr>
      </w:pPr>
      <w:r>
        <w:rPr>
          <w:rFonts w:ascii="Open Sans" w:eastAsia="Open Sans" w:hAnsi="Open Sans" w:cs="Open Sans"/>
          <w:b/>
          <w:sz w:val="28"/>
          <w:szCs w:val="28"/>
        </w:rPr>
        <w:lastRenderedPageBreak/>
        <w:t>PLANNING PROCESS</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In summer of 2017, while planning the faculty agenda for the year, the Chair of Faculty Assembly identified academic planning as one of four priorities for the coming year. The interim leaders of Academic Affairs ha</w:t>
      </w:r>
      <w:r>
        <w:rPr>
          <w:rFonts w:ascii="Open Sans" w:eastAsia="Open Sans" w:hAnsi="Open Sans" w:cs="Open Sans"/>
          <w:sz w:val="22"/>
          <w:szCs w:val="22"/>
        </w:rPr>
        <w:t>d also recognized the need for academic planning. The intention for an academic plan was introduced at Faculty Assembly retreat on September 25, 2017 followed by a faculty discussion.</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 xml:space="preserve">Stage 1 of academic planning was conducted in autumn 2017. It involved </w:t>
      </w:r>
      <w:r>
        <w:rPr>
          <w:rFonts w:ascii="Open Sans" w:eastAsia="Open Sans" w:hAnsi="Open Sans" w:cs="Open Sans"/>
          <w:sz w:val="22"/>
          <w:szCs w:val="22"/>
        </w:rPr>
        <w:t>assessment of existing academic programs.  Faculty in each school or academic unit evaluated their academic offerings using a rubric with criteria regarding strategic alignment, program productivity, internal and community demand, program quality, resource</w:t>
      </w:r>
      <w:r>
        <w:rPr>
          <w:rFonts w:ascii="Open Sans" w:eastAsia="Open Sans" w:hAnsi="Open Sans" w:cs="Open Sans"/>
          <w:sz w:val="22"/>
          <w:szCs w:val="22"/>
        </w:rPr>
        <w:t>s, and future potential (see Appendix 1). For each degree program, institutional data was provided to support assessment of factors such as enrollment trends, faculty to student ratios, and external demand for graduates. In addition, faculty assessed the s</w:t>
      </w:r>
      <w:r>
        <w:rPr>
          <w:rFonts w:ascii="Open Sans" w:eastAsia="Open Sans" w:hAnsi="Open Sans" w:cs="Open Sans"/>
          <w:sz w:val="22"/>
          <w:szCs w:val="22"/>
        </w:rPr>
        <w:t>uccess of graduates, national or international indicators of program quality, and the adequacy of facilities and technology. Program faculty provided self-evaluation of their orientation toward emerging changes in the discipline and their capacity to gener</w:t>
      </w:r>
      <w:r>
        <w:rPr>
          <w:rFonts w:ascii="Open Sans" w:eastAsia="Open Sans" w:hAnsi="Open Sans" w:cs="Open Sans"/>
          <w:sz w:val="22"/>
          <w:szCs w:val="22"/>
        </w:rPr>
        <w:t xml:space="preserve">ate creative ideas. At the conclusion of each assessment, faculty made a recommendation to grow, maintain, redesign, or phase out the degree program. To ensure transparency, assessments and recommendations were posted to be available to all members of the </w:t>
      </w:r>
      <w:r>
        <w:rPr>
          <w:rFonts w:ascii="Open Sans" w:eastAsia="Open Sans" w:hAnsi="Open Sans" w:cs="Open Sans"/>
          <w:sz w:val="22"/>
          <w:szCs w:val="22"/>
        </w:rPr>
        <w:t>faculty.</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Stage 2 was conducted in winter and spring of 2018. It involved the development of action steps related to the recommendations proposed in Stage 1 to grow, maintain, redesign, or phase out current degree programs. This involved identifying curric</w:t>
      </w:r>
      <w:r>
        <w:rPr>
          <w:rFonts w:ascii="Open Sans" w:eastAsia="Open Sans" w:hAnsi="Open Sans" w:cs="Open Sans"/>
          <w:sz w:val="22"/>
          <w:szCs w:val="22"/>
        </w:rPr>
        <w:t>ular, pedagogical, and outreach actions to achieve the desired results. Stage 2 also included identifying opportunities for new program development based on student, community and industry demand. Faculty then determined how existing resources could be mob</w:t>
      </w:r>
      <w:r>
        <w:rPr>
          <w:rFonts w:ascii="Open Sans" w:eastAsia="Open Sans" w:hAnsi="Open Sans" w:cs="Open Sans"/>
          <w:sz w:val="22"/>
          <w:szCs w:val="22"/>
        </w:rPr>
        <w:t>ilized or reallocated to facilitate changes, and also what new resources would be needed. Deans and unit heads provided comments on these assessments and plans, and offered their recommendations for the overall direction of their schools or academic units.</w:t>
      </w:r>
      <w:r>
        <w:rPr>
          <w:rFonts w:ascii="Open Sans" w:eastAsia="Open Sans" w:hAnsi="Open Sans" w:cs="Open Sans"/>
          <w:sz w:val="22"/>
          <w:szCs w:val="22"/>
        </w:rPr>
        <w:t xml:space="preserve"> This stage concluded with public presentation of the proposed changes and new programs, and identifies associated resource requirements (see Appendix 2).</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Stage 3 emphasized curriculum planning for new undergraduate and graduate degree programs. It was co</w:t>
      </w:r>
      <w:r>
        <w:rPr>
          <w:rFonts w:ascii="Open Sans" w:eastAsia="Open Sans" w:hAnsi="Open Sans" w:cs="Open Sans"/>
          <w:sz w:val="22"/>
          <w:szCs w:val="22"/>
        </w:rPr>
        <w:t xml:space="preserve">nducted in spring 2018, autumn 2018 and winter 2019.  A collaborative process was adopted to solicit feedback from all faculty members regarding criteria to assess new programs. Brief proposals for new programs were developed by unit faculty </w:t>
      </w:r>
      <w:r>
        <w:rPr>
          <w:rFonts w:ascii="Open Sans" w:eastAsia="Open Sans" w:hAnsi="Open Sans" w:cs="Open Sans"/>
          <w:sz w:val="22"/>
          <w:szCs w:val="22"/>
        </w:rPr>
        <w:lastRenderedPageBreak/>
        <w:t>and reviewed b</w:t>
      </w:r>
      <w:r>
        <w:rPr>
          <w:rFonts w:ascii="Open Sans" w:eastAsia="Open Sans" w:hAnsi="Open Sans" w:cs="Open Sans"/>
          <w:sz w:val="22"/>
          <w:szCs w:val="22"/>
        </w:rPr>
        <w:t xml:space="preserve">y the Academic Planning and Curriculum Committee of Faculty Assembly (APCC) using the approved criteria. </w:t>
      </w:r>
    </w:p>
    <w:p w:rsidR="00F74031" w:rsidRDefault="00F74031">
      <w:pPr>
        <w:rPr>
          <w:rFonts w:ascii="Open Sans" w:eastAsia="Open Sans" w:hAnsi="Open Sans" w:cs="Open Sans"/>
          <w:b/>
          <w:sz w:val="22"/>
          <w:szCs w:val="22"/>
        </w:rPr>
      </w:pPr>
    </w:p>
    <w:p w:rsidR="00F74031" w:rsidRDefault="00210BD9">
      <w:pPr>
        <w:rPr>
          <w:rFonts w:ascii="Open Sans" w:eastAsia="Open Sans" w:hAnsi="Open Sans" w:cs="Open Sans"/>
          <w:b/>
          <w:sz w:val="22"/>
          <w:szCs w:val="22"/>
        </w:rPr>
      </w:pPr>
      <w:r>
        <w:br w:type="page"/>
      </w:r>
    </w:p>
    <w:p w:rsidR="00F74031" w:rsidRDefault="00210BD9">
      <w:pPr>
        <w:spacing w:line="276" w:lineRule="auto"/>
        <w:rPr>
          <w:rFonts w:ascii="Open Sans" w:eastAsia="Open Sans" w:hAnsi="Open Sans" w:cs="Open Sans"/>
          <w:b/>
          <w:sz w:val="28"/>
          <w:szCs w:val="28"/>
        </w:rPr>
      </w:pPr>
      <w:r>
        <w:rPr>
          <w:rFonts w:ascii="Open Sans" w:eastAsia="Open Sans" w:hAnsi="Open Sans" w:cs="Open Sans"/>
          <w:b/>
          <w:sz w:val="28"/>
          <w:szCs w:val="28"/>
        </w:rPr>
        <w:lastRenderedPageBreak/>
        <w:t>CURRICULAR PLAN</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The review of proposed academic offerings was designed to gather the ideas of the faculty and provide an opportunity for all of cam</w:t>
      </w:r>
      <w:r>
        <w:rPr>
          <w:rFonts w:ascii="Open Sans" w:eastAsia="Open Sans" w:hAnsi="Open Sans" w:cs="Open Sans"/>
          <w:sz w:val="22"/>
          <w:szCs w:val="22"/>
        </w:rPr>
        <w:t xml:space="preserve">pus to view them. The academic planning process is separate from the curriculum approval process and is not meant to duplicate the rigor of that process.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b/>
          <w:sz w:val="22"/>
          <w:szCs w:val="22"/>
        </w:rPr>
        <w:t>New Academic Offerings</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 xml:space="preserve">Fifteen (15) proposals for new degree programs were submitted by faculty and </w:t>
      </w:r>
      <w:r>
        <w:rPr>
          <w:rFonts w:ascii="Open Sans" w:eastAsia="Open Sans" w:hAnsi="Open Sans" w:cs="Open Sans"/>
          <w:sz w:val="22"/>
          <w:szCs w:val="22"/>
        </w:rPr>
        <w:t>the Academic Plan Steering Committee recommended twelve (12) be reviewed and possibly included in the academic plan. Inclusion in the plan does not indicate approval of a proposed degree program. Rather it identifies which programs may move forward through</w:t>
      </w:r>
      <w:r>
        <w:rPr>
          <w:rFonts w:ascii="Open Sans" w:eastAsia="Open Sans" w:hAnsi="Open Sans" w:cs="Open Sans"/>
          <w:sz w:val="22"/>
          <w:szCs w:val="22"/>
        </w:rPr>
        <w:t xml:space="preserve"> the curriculum review process, and priorities among a group of programs that may move forward at different times during the implementation period of the five year plan. Three (3) proposals in the earliest stages of development were deferred to the next ac</w:t>
      </w:r>
      <w:r>
        <w:rPr>
          <w:rFonts w:ascii="Open Sans" w:eastAsia="Open Sans" w:hAnsi="Open Sans" w:cs="Open Sans"/>
          <w:sz w:val="22"/>
          <w:szCs w:val="22"/>
        </w:rPr>
        <w:t>ademic planning period (see Appendix 2 for details).</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Four unranked criteria were identified by faculty and approved by the Executive Council for assessing the brief proposals:</w:t>
      </w:r>
    </w:p>
    <w:p w:rsidR="00F74031" w:rsidRDefault="00210BD9">
      <w:pPr>
        <w:spacing w:line="276" w:lineRule="auto"/>
        <w:ind w:left="720"/>
        <w:rPr>
          <w:rFonts w:ascii="Open Sans" w:eastAsia="Open Sans" w:hAnsi="Open Sans" w:cs="Open Sans"/>
          <w:sz w:val="22"/>
          <w:szCs w:val="22"/>
        </w:rPr>
      </w:pPr>
      <w:r>
        <w:rPr>
          <w:rFonts w:ascii="Open Sans" w:eastAsia="Open Sans" w:hAnsi="Open Sans" w:cs="Open Sans"/>
          <w:sz w:val="22"/>
          <w:szCs w:val="22"/>
        </w:rPr>
        <w:t>1. Alignment with the strategic plan</w:t>
      </w:r>
    </w:p>
    <w:p w:rsidR="00F74031" w:rsidRDefault="00210BD9">
      <w:pPr>
        <w:spacing w:line="276" w:lineRule="auto"/>
        <w:ind w:left="720"/>
        <w:rPr>
          <w:rFonts w:ascii="Open Sans" w:eastAsia="Open Sans" w:hAnsi="Open Sans" w:cs="Open Sans"/>
          <w:sz w:val="22"/>
          <w:szCs w:val="22"/>
        </w:rPr>
      </w:pPr>
      <w:r>
        <w:rPr>
          <w:rFonts w:ascii="Open Sans" w:eastAsia="Open Sans" w:hAnsi="Open Sans" w:cs="Open Sans"/>
          <w:sz w:val="22"/>
          <w:szCs w:val="22"/>
        </w:rPr>
        <w:t>2. Community/student/market demand and impact</w:t>
      </w:r>
    </w:p>
    <w:p w:rsidR="00F74031" w:rsidRDefault="00210BD9">
      <w:pPr>
        <w:spacing w:line="276" w:lineRule="auto"/>
        <w:ind w:left="720"/>
        <w:rPr>
          <w:rFonts w:ascii="Open Sans" w:eastAsia="Open Sans" w:hAnsi="Open Sans" w:cs="Open Sans"/>
          <w:sz w:val="22"/>
          <w:szCs w:val="22"/>
        </w:rPr>
      </w:pPr>
      <w:r>
        <w:rPr>
          <w:rFonts w:ascii="Open Sans" w:eastAsia="Open Sans" w:hAnsi="Open Sans" w:cs="Open Sans"/>
          <w:sz w:val="22"/>
          <w:szCs w:val="22"/>
        </w:rPr>
        <w:t xml:space="preserve">3. Resource impact </w:t>
      </w:r>
    </w:p>
    <w:p w:rsidR="00F74031" w:rsidRDefault="00210BD9">
      <w:pPr>
        <w:spacing w:line="276" w:lineRule="auto"/>
        <w:ind w:left="720"/>
        <w:rPr>
          <w:rFonts w:ascii="Open Sans" w:eastAsia="Open Sans" w:hAnsi="Open Sans" w:cs="Open Sans"/>
          <w:sz w:val="22"/>
          <w:szCs w:val="22"/>
        </w:rPr>
      </w:pPr>
      <w:r>
        <w:rPr>
          <w:rFonts w:ascii="Open Sans" w:eastAsia="Open Sans" w:hAnsi="Open Sans" w:cs="Open Sans"/>
          <w:sz w:val="22"/>
          <w:szCs w:val="22"/>
        </w:rPr>
        <w:t>4. Campus-wide balance of academic disciplines and programs</w:t>
      </w:r>
    </w:p>
    <w:p w:rsidR="00F74031" w:rsidRDefault="00F74031">
      <w:pPr>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Eleven (11) brief proposals were submitted for review by APCC for possible inclusion in the academic plan.  The review by the APCC placed the programs into the following categories of priority:</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High: </w:t>
      </w:r>
      <w:r>
        <w:rPr>
          <w:rFonts w:ascii="Open Sans" w:eastAsia="Open Sans" w:hAnsi="Open Sans" w:cs="Open Sans"/>
          <w:sz w:val="22"/>
          <w:szCs w:val="22"/>
        </w:rPr>
        <w:tab/>
      </w:r>
      <w:r>
        <w:rPr>
          <w:rFonts w:ascii="Open Sans" w:eastAsia="Open Sans" w:hAnsi="Open Sans" w:cs="Open Sans"/>
          <w:sz w:val="22"/>
          <w:szCs w:val="22"/>
        </w:rPr>
        <w:tab/>
        <w:t>M.S. in Environmental Science</w:t>
      </w:r>
    </w:p>
    <w:p w:rsidR="00F74031" w:rsidRDefault="00210BD9">
      <w:pPr>
        <w:ind w:left="720" w:firstLine="720"/>
        <w:rPr>
          <w:rFonts w:ascii="Open Sans" w:eastAsia="Open Sans" w:hAnsi="Open Sans" w:cs="Open Sans"/>
          <w:sz w:val="22"/>
          <w:szCs w:val="22"/>
        </w:rPr>
      </w:pPr>
      <w:r>
        <w:rPr>
          <w:rFonts w:ascii="Open Sans" w:eastAsia="Open Sans" w:hAnsi="Open Sans" w:cs="Open Sans"/>
          <w:sz w:val="22"/>
          <w:szCs w:val="22"/>
        </w:rPr>
        <w:t>M.S. in Electrical and c</w:t>
      </w:r>
      <w:r>
        <w:rPr>
          <w:rFonts w:ascii="Open Sans" w:eastAsia="Open Sans" w:hAnsi="Open Sans" w:cs="Open Sans"/>
          <w:sz w:val="22"/>
          <w:szCs w:val="22"/>
        </w:rPr>
        <w:t>omputer Engineering</w:t>
      </w:r>
    </w:p>
    <w:p w:rsidR="00F74031" w:rsidRDefault="00210BD9">
      <w:pPr>
        <w:ind w:left="720" w:firstLine="720"/>
        <w:rPr>
          <w:rFonts w:ascii="Open Sans" w:eastAsia="Open Sans" w:hAnsi="Open Sans" w:cs="Open Sans"/>
          <w:sz w:val="22"/>
          <w:szCs w:val="22"/>
        </w:rPr>
      </w:pPr>
      <w:proofErr w:type="spellStart"/>
      <w:r>
        <w:rPr>
          <w:rFonts w:ascii="Open Sans" w:eastAsia="Open Sans" w:hAnsi="Open Sans" w:cs="Open Sans"/>
          <w:sz w:val="22"/>
          <w:szCs w:val="22"/>
        </w:rPr>
        <w:t>Ed.S</w:t>
      </w:r>
      <w:proofErr w:type="spellEnd"/>
      <w:r>
        <w:rPr>
          <w:rFonts w:ascii="Open Sans" w:eastAsia="Open Sans" w:hAnsi="Open Sans" w:cs="Open Sans"/>
          <w:sz w:val="22"/>
          <w:szCs w:val="22"/>
        </w:rPr>
        <w:t>. in School Psychology</w:t>
      </w:r>
    </w:p>
    <w:p w:rsidR="00F74031" w:rsidRDefault="00210BD9">
      <w:pPr>
        <w:ind w:left="720" w:firstLine="720"/>
        <w:rPr>
          <w:rFonts w:ascii="Open Sans" w:eastAsia="Open Sans" w:hAnsi="Open Sans" w:cs="Open Sans"/>
          <w:sz w:val="22"/>
          <w:szCs w:val="22"/>
        </w:rPr>
      </w:pPr>
      <w:r>
        <w:rPr>
          <w:rFonts w:ascii="Open Sans" w:eastAsia="Open Sans" w:hAnsi="Open Sans" w:cs="Open Sans"/>
          <w:sz w:val="22"/>
          <w:szCs w:val="22"/>
        </w:rPr>
        <w:t>B.A. in Art</w:t>
      </w:r>
    </w:p>
    <w:p w:rsidR="00F74031" w:rsidRDefault="00210BD9">
      <w:pPr>
        <w:ind w:left="720" w:firstLine="720"/>
        <w:rPr>
          <w:rFonts w:ascii="Open Sans" w:eastAsia="Open Sans" w:hAnsi="Open Sans" w:cs="Open Sans"/>
          <w:sz w:val="22"/>
          <w:szCs w:val="22"/>
        </w:rPr>
      </w:pPr>
      <w:r>
        <w:rPr>
          <w:rFonts w:ascii="Open Sans" w:eastAsia="Open Sans" w:hAnsi="Open Sans" w:cs="Open Sans"/>
          <w:sz w:val="22"/>
          <w:szCs w:val="22"/>
        </w:rPr>
        <w:t>B.A. in Educational Studies</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Medium: </w:t>
      </w:r>
      <w:r>
        <w:rPr>
          <w:rFonts w:ascii="Open Sans" w:eastAsia="Open Sans" w:hAnsi="Open Sans" w:cs="Open Sans"/>
          <w:sz w:val="22"/>
          <w:szCs w:val="22"/>
        </w:rPr>
        <w:tab/>
        <w:t>Ph.D. in Computing</w:t>
      </w:r>
    </w:p>
    <w:p w:rsidR="00F74031" w:rsidRDefault="00210BD9">
      <w:pPr>
        <w:ind w:left="720" w:firstLine="720"/>
        <w:rPr>
          <w:rFonts w:ascii="Open Sans" w:eastAsia="Open Sans" w:hAnsi="Open Sans" w:cs="Open Sans"/>
          <w:sz w:val="22"/>
          <w:szCs w:val="22"/>
        </w:rPr>
      </w:pPr>
      <w:r>
        <w:rPr>
          <w:rFonts w:ascii="Open Sans" w:eastAsia="Open Sans" w:hAnsi="Open Sans" w:cs="Open Sans"/>
          <w:sz w:val="22"/>
          <w:szCs w:val="22"/>
        </w:rPr>
        <w:t>B.S. in Mechanical Engineering*</w:t>
      </w:r>
    </w:p>
    <w:p w:rsidR="00F74031" w:rsidRDefault="00210BD9">
      <w:pPr>
        <w:ind w:left="720" w:firstLine="720"/>
        <w:rPr>
          <w:rFonts w:ascii="Open Sans" w:eastAsia="Open Sans" w:hAnsi="Open Sans" w:cs="Open Sans"/>
          <w:sz w:val="22"/>
          <w:szCs w:val="22"/>
        </w:rPr>
      </w:pPr>
      <w:r>
        <w:rPr>
          <w:rFonts w:ascii="Open Sans" w:eastAsia="Open Sans" w:hAnsi="Open Sans" w:cs="Open Sans"/>
          <w:sz w:val="22"/>
          <w:szCs w:val="22"/>
        </w:rPr>
        <w:t>B.S. in Civil Engineering*</w:t>
      </w:r>
    </w:p>
    <w:p w:rsidR="00F74031" w:rsidRDefault="00F74031">
      <w:pPr>
        <w:ind w:left="720" w:firstLine="720"/>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Low: </w:t>
      </w:r>
      <w:r>
        <w:rPr>
          <w:rFonts w:ascii="Open Sans" w:eastAsia="Open Sans" w:hAnsi="Open Sans" w:cs="Open Sans"/>
          <w:sz w:val="22"/>
          <w:szCs w:val="22"/>
        </w:rPr>
        <w:tab/>
      </w:r>
      <w:r>
        <w:rPr>
          <w:rFonts w:ascii="Open Sans" w:eastAsia="Open Sans" w:hAnsi="Open Sans" w:cs="Open Sans"/>
          <w:sz w:val="22"/>
          <w:szCs w:val="22"/>
        </w:rPr>
        <w:tab/>
        <w:t>B.A. in Economic and Policy Analysis</w:t>
      </w:r>
    </w:p>
    <w:p w:rsidR="00F74031" w:rsidRDefault="00210BD9">
      <w:pPr>
        <w:ind w:left="720" w:firstLine="720"/>
        <w:rPr>
          <w:rFonts w:ascii="Open Sans" w:eastAsia="Open Sans" w:hAnsi="Open Sans" w:cs="Open Sans"/>
          <w:sz w:val="22"/>
          <w:szCs w:val="22"/>
        </w:rPr>
      </w:pPr>
      <w:r>
        <w:rPr>
          <w:rFonts w:ascii="Open Sans" w:eastAsia="Open Sans" w:hAnsi="Open Sans" w:cs="Open Sans"/>
          <w:sz w:val="22"/>
          <w:szCs w:val="22"/>
        </w:rPr>
        <w:t>Doctorate in Nursing Practice (Leade</w:t>
      </w:r>
      <w:r>
        <w:rPr>
          <w:rFonts w:ascii="Open Sans" w:eastAsia="Open Sans" w:hAnsi="Open Sans" w:cs="Open Sans"/>
          <w:sz w:val="22"/>
          <w:szCs w:val="22"/>
        </w:rPr>
        <w:t xml:space="preserve">rship) </w:t>
      </w:r>
    </w:p>
    <w:p w:rsidR="00F74031" w:rsidRDefault="00210BD9">
      <w:pPr>
        <w:ind w:left="720" w:firstLine="720"/>
        <w:rPr>
          <w:rFonts w:ascii="Open Sans" w:eastAsia="Open Sans" w:hAnsi="Open Sans" w:cs="Open Sans"/>
          <w:sz w:val="22"/>
          <w:szCs w:val="22"/>
        </w:rPr>
      </w:pPr>
      <w:r>
        <w:rPr>
          <w:rFonts w:ascii="Open Sans" w:eastAsia="Open Sans" w:hAnsi="Open Sans" w:cs="Open Sans"/>
          <w:sz w:val="22"/>
          <w:szCs w:val="22"/>
        </w:rPr>
        <w:t>M.S. in Information Technology</w:t>
      </w:r>
    </w:p>
    <w:p w:rsidR="00F74031" w:rsidRDefault="00F74031">
      <w:pPr>
        <w:ind w:left="720" w:firstLine="720"/>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*contingent on legislative funding</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 xml:space="preserve">The categorizations of proposed programs into high, middle and low do not eliminate the possibility of the program entering the curriculum approval process; however, the program’s </w:t>
      </w:r>
      <w:r>
        <w:rPr>
          <w:rFonts w:ascii="Open Sans" w:eastAsia="Open Sans" w:hAnsi="Open Sans" w:cs="Open Sans"/>
          <w:sz w:val="22"/>
          <w:szCs w:val="22"/>
        </w:rPr>
        <w:t xml:space="preserve">category will accompany the program throughout stages of review as a reflection of the Academic Plan’s priorities.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The curriculum approval process includes a series of faculty, administrative, UW, and statewide reviews that involve detailed evaluation of</w:t>
      </w:r>
      <w:r>
        <w:rPr>
          <w:rFonts w:ascii="Open Sans" w:eastAsia="Open Sans" w:hAnsi="Open Sans" w:cs="Open Sans"/>
          <w:sz w:val="22"/>
          <w:szCs w:val="22"/>
        </w:rPr>
        <w:t xml:space="preserve">: </w:t>
      </w:r>
    </w:p>
    <w:p w:rsidR="00F74031" w:rsidRDefault="00210BD9">
      <w:pPr>
        <w:numPr>
          <w:ilvl w:val="0"/>
          <w:numId w:val="25"/>
        </w:numPr>
        <w:pBdr>
          <w:top w:val="nil"/>
          <w:left w:val="nil"/>
          <w:bottom w:val="nil"/>
          <w:right w:val="nil"/>
          <w:between w:val="nil"/>
        </w:pBdr>
        <w:spacing w:line="276" w:lineRule="auto"/>
        <w:rPr>
          <w:rFonts w:ascii="Open Sans" w:eastAsia="Open Sans" w:hAnsi="Open Sans" w:cs="Open Sans"/>
          <w:color w:val="000000"/>
          <w:sz w:val="22"/>
          <w:szCs w:val="22"/>
        </w:rPr>
      </w:pPr>
      <w:r>
        <w:rPr>
          <w:rFonts w:ascii="Open Sans" w:eastAsia="Open Sans" w:hAnsi="Open Sans" w:cs="Open Sans"/>
          <w:color w:val="000000"/>
          <w:sz w:val="22"/>
          <w:szCs w:val="22"/>
        </w:rPr>
        <w:t xml:space="preserve">the impact of the program on diverse students and communities, </w:t>
      </w:r>
    </w:p>
    <w:p w:rsidR="00F74031" w:rsidRDefault="00210BD9">
      <w:pPr>
        <w:numPr>
          <w:ilvl w:val="0"/>
          <w:numId w:val="25"/>
        </w:numPr>
        <w:pBdr>
          <w:top w:val="nil"/>
          <w:left w:val="nil"/>
          <w:bottom w:val="nil"/>
          <w:right w:val="nil"/>
          <w:between w:val="nil"/>
        </w:pBdr>
        <w:spacing w:line="276" w:lineRule="auto"/>
        <w:rPr>
          <w:rFonts w:ascii="Open Sans" w:eastAsia="Open Sans" w:hAnsi="Open Sans" w:cs="Open Sans"/>
          <w:color w:val="000000"/>
          <w:sz w:val="22"/>
          <w:szCs w:val="22"/>
        </w:rPr>
      </w:pPr>
      <w:r>
        <w:rPr>
          <w:rFonts w:ascii="Open Sans" w:eastAsia="Open Sans" w:hAnsi="Open Sans" w:cs="Open Sans"/>
          <w:color w:val="000000"/>
          <w:sz w:val="22"/>
          <w:szCs w:val="22"/>
        </w:rPr>
        <w:t>financial and resource implications for campus,</w:t>
      </w:r>
    </w:p>
    <w:p w:rsidR="00F74031" w:rsidRDefault="00210BD9">
      <w:pPr>
        <w:numPr>
          <w:ilvl w:val="0"/>
          <w:numId w:val="25"/>
        </w:numPr>
        <w:pBdr>
          <w:top w:val="nil"/>
          <w:left w:val="nil"/>
          <w:bottom w:val="nil"/>
          <w:right w:val="nil"/>
          <w:between w:val="nil"/>
        </w:pBdr>
        <w:spacing w:line="276" w:lineRule="auto"/>
        <w:rPr>
          <w:rFonts w:ascii="Open Sans" w:eastAsia="Open Sans" w:hAnsi="Open Sans" w:cs="Open Sans"/>
          <w:color w:val="000000"/>
          <w:sz w:val="22"/>
          <w:szCs w:val="22"/>
        </w:rPr>
      </w:pPr>
      <w:r>
        <w:rPr>
          <w:rFonts w:ascii="Open Sans" w:eastAsia="Open Sans" w:hAnsi="Open Sans" w:cs="Open Sans"/>
          <w:color w:val="000000"/>
          <w:sz w:val="22"/>
          <w:szCs w:val="22"/>
        </w:rPr>
        <w:t>similar degree offerings regionally and statewide,</w:t>
      </w:r>
    </w:p>
    <w:p w:rsidR="00F74031" w:rsidRDefault="00210BD9">
      <w:pPr>
        <w:numPr>
          <w:ilvl w:val="0"/>
          <w:numId w:val="25"/>
        </w:numPr>
        <w:pBdr>
          <w:top w:val="nil"/>
          <w:left w:val="nil"/>
          <w:bottom w:val="nil"/>
          <w:right w:val="nil"/>
          <w:between w:val="nil"/>
        </w:pBdr>
        <w:spacing w:line="276" w:lineRule="auto"/>
        <w:rPr>
          <w:rFonts w:ascii="Open Sans" w:eastAsia="Open Sans" w:hAnsi="Open Sans" w:cs="Open Sans"/>
          <w:color w:val="000000"/>
          <w:sz w:val="22"/>
          <w:szCs w:val="22"/>
        </w:rPr>
      </w:pPr>
      <w:r>
        <w:rPr>
          <w:rFonts w:ascii="Open Sans" w:eastAsia="Open Sans" w:hAnsi="Open Sans" w:cs="Open Sans"/>
          <w:color w:val="000000"/>
          <w:sz w:val="22"/>
          <w:szCs w:val="22"/>
        </w:rPr>
        <w:t>additional supports needed to ensure student success,</w:t>
      </w:r>
    </w:p>
    <w:p w:rsidR="00F74031" w:rsidRDefault="00210BD9">
      <w:pPr>
        <w:numPr>
          <w:ilvl w:val="0"/>
          <w:numId w:val="25"/>
        </w:numPr>
        <w:pBdr>
          <w:top w:val="nil"/>
          <w:left w:val="nil"/>
          <w:bottom w:val="nil"/>
          <w:right w:val="nil"/>
          <w:between w:val="nil"/>
        </w:pBdr>
        <w:spacing w:line="276" w:lineRule="auto"/>
        <w:rPr>
          <w:rFonts w:ascii="Open Sans" w:eastAsia="Open Sans" w:hAnsi="Open Sans" w:cs="Open Sans"/>
          <w:color w:val="000000"/>
          <w:sz w:val="22"/>
          <w:szCs w:val="22"/>
        </w:rPr>
      </w:pPr>
      <w:r>
        <w:rPr>
          <w:rFonts w:ascii="Open Sans" w:eastAsia="Open Sans" w:hAnsi="Open Sans" w:cs="Open Sans"/>
          <w:color w:val="000000"/>
          <w:sz w:val="22"/>
          <w:szCs w:val="22"/>
        </w:rPr>
        <w:t>market demand and job prospects for graduates, and</w:t>
      </w:r>
    </w:p>
    <w:p w:rsidR="00F74031" w:rsidRDefault="00210BD9">
      <w:pPr>
        <w:numPr>
          <w:ilvl w:val="0"/>
          <w:numId w:val="25"/>
        </w:numPr>
        <w:pBdr>
          <w:top w:val="nil"/>
          <w:left w:val="nil"/>
          <w:bottom w:val="nil"/>
          <w:right w:val="nil"/>
          <w:between w:val="nil"/>
        </w:pBdr>
        <w:spacing w:line="276" w:lineRule="auto"/>
        <w:rPr>
          <w:rFonts w:ascii="Open Sans" w:eastAsia="Open Sans" w:hAnsi="Open Sans" w:cs="Open Sans"/>
          <w:color w:val="000000"/>
          <w:sz w:val="22"/>
          <w:szCs w:val="22"/>
        </w:rPr>
      </w:pPr>
      <w:r>
        <w:rPr>
          <w:rFonts w:ascii="Open Sans" w:eastAsia="Open Sans" w:hAnsi="Open Sans" w:cs="Open Sans"/>
          <w:color w:val="000000"/>
          <w:sz w:val="22"/>
          <w:szCs w:val="22"/>
        </w:rPr>
        <w:t>overall supply and demand of educational offerings in Washington</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These evaluations occur during the curriculum approval process rather than during academic planning. This ensures evaluation occurs as close</w:t>
      </w:r>
      <w:r>
        <w:rPr>
          <w:rFonts w:ascii="Open Sans" w:eastAsia="Open Sans" w:hAnsi="Open Sans" w:cs="Open Sans"/>
          <w:sz w:val="22"/>
          <w:szCs w:val="22"/>
        </w:rPr>
        <w:t xml:space="preserve"> in time as is possible to the possible launch of a program so that assessment is based upon review in the contextual and fiscal conditions then in place rather than those in place during academic planning.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The Academic Planning Policy and Process approv</w:t>
      </w:r>
      <w:r>
        <w:rPr>
          <w:rFonts w:ascii="Open Sans" w:eastAsia="Open Sans" w:hAnsi="Open Sans" w:cs="Open Sans"/>
          <w:sz w:val="22"/>
          <w:szCs w:val="22"/>
        </w:rPr>
        <w:t xml:space="preserve">ed by the Executive Council on January 28, 2019 allows one opportunity per year in the autumn for additional proposals for new degree programs to be reviewed for possible inclusion in this plan.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b/>
          <w:sz w:val="22"/>
          <w:szCs w:val="22"/>
        </w:rPr>
      </w:pPr>
      <w:r>
        <w:rPr>
          <w:rFonts w:ascii="Open Sans" w:eastAsia="Open Sans" w:hAnsi="Open Sans" w:cs="Open Sans"/>
          <w:b/>
          <w:sz w:val="22"/>
          <w:szCs w:val="22"/>
        </w:rPr>
        <w:t>Academic Program Changes</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Faculty proposed twenty-six possi</w:t>
      </w:r>
      <w:r>
        <w:rPr>
          <w:rFonts w:ascii="Open Sans" w:eastAsia="Open Sans" w:hAnsi="Open Sans" w:cs="Open Sans"/>
          <w:sz w:val="22"/>
          <w:szCs w:val="22"/>
        </w:rPr>
        <w:t>bilities for modifications to existing programs and curricula. The proposed changes are in four categories:</w:t>
      </w:r>
    </w:p>
    <w:p w:rsidR="00F74031" w:rsidRDefault="00210BD9">
      <w:pPr>
        <w:numPr>
          <w:ilvl w:val="0"/>
          <w:numId w:val="23"/>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 xml:space="preserve">Expansion of existing programs with new options (areas of focus) and/or new audiences (e.g. practicing professionals). </w:t>
      </w:r>
    </w:p>
    <w:p w:rsidR="00F74031" w:rsidRDefault="00210BD9">
      <w:pPr>
        <w:numPr>
          <w:ilvl w:val="0"/>
          <w:numId w:val="23"/>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Honors designations for mult</w:t>
      </w:r>
      <w:r>
        <w:rPr>
          <w:rFonts w:ascii="Open Sans" w:eastAsia="Open Sans" w:hAnsi="Open Sans" w:cs="Open Sans"/>
          <w:color w:val="000000"/>
          <w:sz w:val="22"/>
          <w:szCs w:val="22"/>
        </w:rPr>
        <w:t>iple undergraduate degrees.</w:t>
      </w:r>
    </w:p>
    <w:p w:rsidR="00F74031" w:rsidRDefault="00210BD9">
      <w:pPr>
        <w:numPr>
          <w:ilvl w:val="0"/>
          <w:numId w:val="23"/>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Ideas for new minors, certificates and options. These programs were not included in APCC Academic Plan review, which was limited to new degrees for this plan cycle only.</w:t>
      </w:r>
    </w:p>
    <w:p w:rsidR="00F74031" w:rsidRDefault="00210BD9">
      <w:pPr>
        <w:numPr>
          <w:ilvl w:val="0"/>
          <w:numId w:val="23"/>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rPr>
        <w:t xml:space="preserve">Facility and technology enhancements to remain current and enhance student learning.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lastRenderedPageBreak/>
        <w:t>The curricular changes identified in the first three categories above will proceed through the regular curriculum approval process. This process includes assessments of demand, academic quality, and resource needs. Depending on the nature of the change, pr</w:t>
      </w:r>
      <w:r>
        <w:rPr>
          <w:rFonts w:ascii="Open Sans" w:eastAsia="Open Sans" w:hAnsi="Open Sans" w:cs="Open Sans"/>
          <w:sz w:val="22"/>
          <w:szCs w:val="22"/>
        </w:rPr>
        <w:t xml:space="preserve">oposals may be required to undergo UW tri-campus review, a state-level comment period, and accreditation review by the Northwest Commission on Colleges and Universities.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The facility and technology needs ranged from software upgrades to multi-million dol</w:t>
      </w:r>
      <w:r>
        <w:rPr>
          <w:rFonts w:ascii="Open Sans" w:eastAsia="Open Sans" w:hAnsi="Open Sans" w:cs="Open Sans"/>
          <w:sz w:val="22"/>
          <w:szCs w:val="22"/>
        </w:rPr>
        <w:t xml:space="preserve">lar facilities such as laboratories. Implementation of proposed changes began in </w:t>
      </w:r>
      <w:proofErr w:type="gramStart"/>
      <w:r>
        <w:rPr>
          <w:rFonts w:ascii="Open Sans" w:eastAsia="Open Sans" w:hAnsi="Open Sans" w:cs="Open Sans"/>
          <w:sz w:val="22"/>
          <w:szCs w:val="22"/>
        </w:rPr>
        <w:t>Spring</w:t>
      </w:r>
      <w:proofErr w:type="gramEnd"/>
      <w:r>
        <w:rPr>
          <w:rFonts w:ascii="Open Sans" w:eastAsia="Open Sans" w:hAnsi="Open Sans" w:cs="Open Sans"/>
          <w:sz w:val="22"/>
          <w:szCs w:val="22"/>
        </w:rPr>
        <w:t xml:space="preserve"> 2018. Investments will be made throughout the plan cycle as resources permit, and large and/or long term needs will be added to the campus capital plan. </w:t>
      </w:r>
    </w:p>
    <w:p w:rsidR="00F74031" w:rsidRDefault="00F74031">
      <w:pPr>
        <w:spacing w:line="276" w:lineRule="auto"/>
        <w:rPr>
          <w:rFonts w:ascii="Open Sans" w:eastAsia="Open Sans" w:hAnsi="Open Sans" w:cs="Open Sans"/>
          <w:sz w:val="22"/>
          <w:szCs w:val="22"/>
        </w:rPr>
      </w:pPr>
    </w:p>
    <w:p w:rsidR="00F74031" w:rsidRDefault="00F74031">
      <w:pPr>
        <w:spacing w:line="276" w:lineRule="auto"/>
        <w:rPr>
          <w:rFonts w:ascii="Open Sans" w:eastAsia="Open Sans" w:hAnsi="Open Sans" w:cs="Open Sans"/>
          <w:b/>
          <w:sz w:val="28"/>
          <w:szCs w:val="28"/>
        </w:rPr>
      </w:pPr>
    </w:p>
    <w:p w:rsidR="00F74031" w:rsidRDefault="00210BD9">
      <w:pPr>
        <w:rPr>
          <w:rFonts w:ascii="Open Sans" w:eastAsia="Open Sans" w:hAnsi="Open Sans" w:cs="Open Sans"/>
          <w:b/>
          <w:sz w:val="28"/>
          <w:szCs w:val="28"/>
        </w:rPr>
      </w:pPr>
      <w:r>
        <w:br w:type="page"/>
      </w:r>
    </w:p>
    <w:p w:rsidR="00F74031" w:rsidRDefault="00210BD9">
      <w:pPr>
        <w:spacing w:line="276" w:lineRule="auto"/>
        <w:rPr>
          <w:rFonts w:ascii="Open Sans" w:eastAsia="Open Sans" w:hAnsi="Open Sans" w:cs="Open Sans"/>
          <w:b/>
          <w:sz w:val="28"/>
          <w:szCs w:val="28"/>
        </w:rPr>
      </w:pPr>
      <w:r>
        <w:rPr>
          <w:rFonts w:ascii="Open Sans" w:eastAsia="Open Sans" w:hAnsi="Open Sans" w:cs="Open Sans"/>
          <w:b/>
          <w:sz w:val="28"/>
          <w:szCs w:val="28"/>
        </w:rPr>
        <w:lastRenderedPageBreak/>
        <w:t>ACADEMIC S</w:t>
      </w:r>
      <w:r>
        <w:rPr>
          <w:rFonts w:ascii="Open Sans" w:eastAsia="Open Sans" w:hAnsi="Open Sans" w:cs="Open Sans"/>
          <w:b/>
          <w:sz w:val="28"/>
          <w:szCs w:val="28"/>
        </w:rPr>
        <w:t>UPPORT PLAN</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The elements of an academic plan must include a framework for supporting the success of the institution in its academic endeavors. Curricular offerings are the heart of this plan, and the faculty, students and staff who engage in them should be</w:t>
      </w:r>
      <w:r>
        <w:rPr>
          <w:rFonts w:ascii="Open Sans" w:eastAsia="Open Sans" w:hAnsi="Open Sans" w:cs="Open Sans"/>
          <w:sz w:val="22"/>
          <w:szCs w:val="22"/>
        </w:rPr>
        <w:t xml:space="preserve"> supported through initiatives that support access and excellence. The areas of focus for academic support include student learning, scholarship, and faculty development.</w:t>
      </w:r>
    </w:p>
    <w:p w:rsidR="00F74031" w:rsidRDefault="00F74031">
      <w:pPr>
        <w:spacing w:line="276" w:lineRule="auto"/>
        <w:rPr>
          <w:rFonts w:ascii="Open Sans" w:eastAsia="Open Sans" w:hAnsi="Open Sans" w:cs="Open Sans"/>
          <w:b/>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b/>
          <w:sz w:val="22"/>
          <w:szCs w:val="22"/>
        </w:rPr>
        <w:t>Student Learning</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The 2018-2023 Academic Plan emphasizes student success that results</w:t>
      </w:r>
      <w:r>
        <w:rPr>
          <w:rFonts w:ascii="Open Sans" w:eastAsia="Open Sans" w:hAnsi="Open Sans" w:cs="Open Sans"/>
          <w:sz w:val="22"/>
          <w:szCs w:val="22"/>
        </w:rPr>
        <w:t xml:space="preserve"> in persistence, deep learning, graduation, and positive post-graduation outcomes. We will focus on three general areas to support teaching, learning, and student success:</w:t>
      </w:r>
    </w:p>
    <w:p w:rsidR="00F74031" w:rsidRDefault="00F74031">
      <w:pPr>
        <w:spacing w:line="276" w:lineRule="auto"/>
        <w:rPr>
          <w:rFonts w:ascii="Open Sans" w:eastAsia="Open Sans" w:hAnsi="Open Sans" w:cs="Open Sans"/>
          <w:sz w:val="22"/>
          <w:szCs w:val="22"/>
        </w:rPr>
      </w:pPr>
    </w:p>
    <w:p w:rsidR="00F74031" w:rsidRDefault="00210BD9">
      <w:pPr>
        <w:numPr>
          <w:ilvl w:val="0"/>
          <w:numId w:val="29"/>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u w:val="single"/>
        </w:rPr>
        <w:t>Access and Inclusivity</w:t>
      </w:r>
      <w:r>
        <w:rPr>
          <w:rFonts w:ascii="Open Sans" w:eastAsia="Open Sans" w:hAnsi="Open Sans" w:cs="Open Sans"/>
          <w:color w:val="000000"/>
          <w:sz w:val="22"/>
          <w:szCs w:val="22"/>
        </w:rPr>
        <w:t>: Efforts will support expansion of inclusive pedagogy traini</w:t>
      </w:r>
      <w:r>
        <w:rPr>
          <w:rFonts w:ascii="Open Sans" w:eastAsia="Open Sans" w:hAnsi="Open Sans" w:cs="Open Sans"/>
          <w:color w:val="000000"/>
          <w:sz w:val="22"/>
          <w:szCs w:val="22"/>
        </w:rPr>
        <w:t xml:space="preserve">ng for faculty and staff, high-quality digital learning, and multilingual writer support. We will create additional learning support through the Teaching and Learning Center and Library to support all academic areas as well as new degree programs. We will </w:t>
      </w:r>
      <w:r>
        <w:rPr>
          <w:rFonts w:ascii="Open Sans" w:eastAsia="Open Sans" w:hAnsi="Open Sans" w:cs="Open Sans"/>
          <w:color w:val="000000"/>
          <w:sz w:val="22"/>
          <w:szCs w:val="22"/>
        </w:rPr>
        <w:t>enhance support for graduate students.</w:t>
      </w:r>
    </w:p>
    <w:p w:rsidR="00F74031" w:rsidRDefault="00F74031">
      <w:pPr>
        <w:spacing w:line="276" w:lineRule="auto"/>
        <w:rPr>
          <w:rFonts w:ascii="Open Sans" w:eastAsia="Open Sans" w:hAnsi="Open Sans" w:cs="Open Sans"/>
          <w:sz w:val="22"/>
          <w:szCs w:val="22"/>
        </w:rPr>
      </w:pPr>
    </w:p>
    <w:p w:rsidR="00F74031" w:rsidRDefault="00210BD9">
      <w:pPr>
        <w:numPr>
          <w:ilvl w:val="0"/>
          <w:numId w:val="29"/>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u w:val="single"/>
        </w:rPr>
        <w:t>Innovation</w:t>
      </w:r>
      <w:r>
        <w:rPr>
          <w:rFonts w:ascii="Open Sans" w:eastAsia="Open Sans" w:hAnsi="Open Sans" w:cs="Open Sans"/>
          <w:color w:val="000000"/>
          <w:sz w:val="22"/>
          <w:szCs w:val="22"/>
        </w:rPr>
        <w:t>: We will pursue development of the Global Innovation and Design initiative to support interdisciplinary, problem-based learning. We will seek to create a Learning Commons that integrates academic support f</w:t>
      </w:r>
      <w:r>
        <w:rPr>
          <w:rFonts w:ascii="Open Sans" w:eastAsia="Open Sans" w:hAnsi="Open Sans" w:cs="Open Sans"/>
          <w:color w:val="000000"/>
          <w:sz w:val="22"/>
          <w:szCs w:val="22"/>
        </w:rPr>
        <w:t>or research, writing, library and information services, quantitative analysis, and technology.</w:t>
      </w:r>
    </w:p>
    <w:p w:rsidR="00F74031" w:rsidRDefault="00F74031">
      <w:pPr>
        <w:spacing w:line="276" w:lineRule="auto"/>
        <w:rPr>
          <w:rFonts w:ascii="Open Sans" w:eastAsia="Open Sans" w:hAnsi="Open Sans" w:cs="Open Sans"/>
          <w:sz w:val="22"/>
          <w:szCs w:val="22"/>
        </w:rPr>
      </w:pPr>
    </w:p>
    <w:p w:rsidR="00F74031" w:rsidRDefault="00210BD9">
      <w:pPr>
        <w:numPr>
          <w:ilvl w:val="0"/>
          <w:numId w:val="29"/>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u w:val="single"/>
        </w:rPr>
        <w:t>Career-Connected Learning</w:t>
      </w:r>
      <w:r>
        <w:rPr>
          <w:rFonts w:ascii="Open Sans" w:eastAsia="Open Sans" w:hAnsi="Open Sans" w:cs="Open Sans"/>
          <w:color w:val="000000"/>
          <w:sz w:val="22"/>
          <w:szCs w:val="22"/>
        </w:rPr>
        <w:t xml:space="preserve">: Our efforts will expand the availability of High Impact Practices for all our students (including internships, research, </w:t>
      </w:r>
      <w:proofErr w:type="gramStart"/>
      <w:r>
        <w:rPr>
          <w:rFonts w:ascii="Open Sans" w:eastAsia="Open Sans" w:hAnsi="Open Sans" w:cs="Open Sans"/>
          <w:color w:val="000000"/>
          <w:sz w:val="22"/>
          <w:szCs w:val="22"/>
        </w:rPr>
        <w:t>study</w:t>
      </w:r>
      <w:proofErr w:type="gramEnd"/>
      <w:r>
        <w:rPr>
          <w:rFonts w:ascii="Open Sans" w:eastAsia="Open Sans" w:hAnsi="Open Sans" w:cs="Open Sans"/>
          <w:color w:val="000000"/>
          <w:sz w:val="22"/>
          <w:szCs w:val="22"/>
        </w:rPr>
        <w:t xml:space="preserve"> abroad</w:t>
      </w:r>
      <w:r>
        <w:rPr>
          <w:rFonts w:ascii="Open Sans" w:eastAsia="Open Sans" w:hAnsi="Open Sans" w:cs="Open Sans"/>
          <w:color w:val="000000"/>
          <w:sz w:val="22"/>
          <w:szCs w:val="22"/>
        </w:rPr>
        <w:t>, community engaged learning). We will improve the clarity of major pathways and support the creation of career-connected curriculum.</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In conjunction with these priorities, Academic Affairs is developing an Academic Retention Plan to identify a number of f</w:t>
      </w:r>
      <w:r>
        <w:rPr>
          <w:rFonts w:ascii="Open Sans" w:eastAsia="Open Sans" w:hAnsi="Open Sans" w:cs="Open Sans"/>
          <w:sz w:val="22"/>
          <w:szCs w:val="22"/>
        </w:rPr>
        <w:t xml:space="preserve">ocused actions to improve retention and post-graduation success of our students.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Our ongoing efforts at assessment of student learning will continue. Over the next five years, we will expand our central coordination and support for measuring and improvin</w:t>
      </w:r>
      <w:r>
        <w:rPr>
          <w:rFonts w:ascii="Open Sans" w:eastAsia="Open Sans" w:hAnsi="Open Sans" w:cs="Open Sans"/>
          <w:sz w:val="22"/>
          <w:szCs w:val="22"/>
        </w:rPr>
        <w:t>g student achievement, especially for programs that are not assessed via accreditation.</w:t>
      </w:r>
    </w:p>
    <w:p w:rsidR="00F74031" w:rsidRDefault="00F74031">
      <w:pPr>
        <w:spacing w:line="276" w:lineRule="auto"/>
        <w:rPr>
          <w:rFonts w:ascii="Open Sans" w:eastAsia="Open Sans" w:hAnsi="Open Sans" w:cs="Open Sans"/>
          <w:sz w:val="22"/>
          <w:szCs w:val="22"/>
        </w:rPr>
      </w:pP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b/>
          <w:sz w:val="22"/>
          <w:szCs w:val="22"/>
        </w:rPr>
        <w:lastRenderedPageBreak/>
        <w:t>Scholarship</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UW Tacoma supports a multitude of scholarly approaches built upon humanistic and scientific traditions as well as indigenous ways of knowing. Our commitment to use-inspired research emphasizes the importance of academic knowledge creation to the world in w</w:t>
      </w:r>
      <w:r>
        <w:rPr>
          <w:rFonts w:ascii="Open Sans" w:eastAsia="Open Sans" w:hAnsi="Open Sans" w:cs="Open Sans"/>
          <w:sz w:val="22"/>
          <w:szCs w:val="22"/>
        </w:rPr>
        <w:t xml:space="preserve">hich we live. As a public university, we support scholarship that is guided by the potential use of its results, and we strive to respond to problems or needs of our communities.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UW Tacoma faculty approach the complex challenges of a globalized world fro</w:t>
      </w:r>
      <w:r>
        <w:rPr>
          <w:rFonts w:ascii="Open Sans" w:eastAsia="Open Sans" w:hAnsi="Open Sans" w:cs="Open Sans"/>
          <w:sz w:val="22"/>
          <w:szCs w:val="22"/>
        </w:rPr>
        <w:t xml:space="preserve">m a range of disciplines. Our scholarly endeavors, many of which engage our students and communities, span from cutting edge discoveries in emergent fields to multidisciplinary explorations that leverage UW Tacoma’s interdisciplinary roots.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We will impl</w:t>
      </w:r>
      <w:r>
        <w:rPr>
          <w:rFonts w:ascii="Open Sans" w:eastAsia="Open Sans" w:hAnsi="Open Sans" w:cs="Open Sans"/>
          <w:sz w:val="22"/>
          <w:szCs w:val="22"/>
        </w:rPr>
        <w:t xml:space="preserve">ement three initiatives to enhance research, scholarship and creative works: </w:t>
      </w:r>
    </w:p>
    <w:p w:rsidR="00F74031" w:rsidRDefault="00F74031">
      <w:pPr>
        <w:spacing w:line="276" w:lineRule="auto"/>
        <w:rPr>
          <w:rFonts w:ascii="Open Sans" w:eastAsia="Open Sans" w:hAnsi="Open Sans" w:cs="Open Sans"/>
          <w:sz w:val="22"/>
          <w:szCs w:val="22"/>
        </w:rPr>
      </w:pPr>
    </w:p>
    <w:p w:rsidR="00F74031" w:rsidRDefault="00210BD9">
      <w:pPr>
        <w:spacing w:line="276" w:lineRule="auto"/>
        <w:ind w:left="720"/>
        <w:rPr>
          <w:rFonts w:ascii="Open Sans" w:eastAsia="Open Sans" w:hAnsi="Open Sans" w:cs="Open Sans"/>
          <w:sz w:val="22"/>
          <w:szCs w:val="22"/>
        </w:rPr>
      </w:pPr>
      <w:r>
        <w:rPr>
          <w:rFonts w:ascii="Open Sans" w:eastAsia="Open Sans" w:hAnsi="Open Sans" w:cs="Open Sans"/>
          <w:sz w:val="22"/>
          <w:szCs w:val="22"/>
        </w:rPr>
        <w:t xml:space="preserve">1. </w:t>
      </w:r>
      <w:r>
        <w:rPr>
          <w:rFonts w:ascii="Open Sans" w:eastAsia="Open Sans" w:hAnsi="Open Sans" w:cs="Open Sans"/>
          <w:sz w:val="22"/>
          <w:szCs w:val="22"/>
          <w:u w:val="single"/>
        </w:rPr>
        <w:t>Research Advisory Committee:</w:t>
      </w:r>
      <w:r>
        <w:rPr>
          <w:rFonts w:ascii="Open Sans" w:eastAsia="Open Sans" w:hAnsi="Open Sans" w:cs="Open Sans"/>
          <w:sz w:val="22"/>
          <w:szCs w:val="22"/>
        </w:rPr>
        <w:t xml:space="preserve"> We will launch a faculty council to guide all forms of scholarship to enhance the impact and productivity of our community of scholars. </w:t>
      </w:r>
    </w:p>
    <w:p w:rsidR="00F74031" w:rsidRDefault="00F74031">
      <w:pPr>
        <w:spacing w:line="276" w:lineRule="auto"/>
        <w:ind w:left="720"/>
        <w:rPr>
          <w:rFonts w:ascii="Open Sans" w:eastAsia="Open Sans" w:hAnsi="Open Sans" w:cs="Open Sans"/>
          <w:sz w:val="22"/>
          <w:szCs w:val="22"/>
        </w:rPr>
      </w:pPr>
    </w:p>
    <w:p w:rsidR="00F74031" w:rsidRDefault="00210BD9">
      <w:pPr>
        <w:spacing w:line="276" w:lineRule="auto"/>
        <w:ind w:left="720"/>
        <w:rPr>
          <w:rFonts w:ascii="Open Sans" w:eastAsia="Open Sans" w:hAnsi="Open Sans" w:cs="Open Sans"/>
          <w:sz w:val="22"/>
          <w:szCs w:val="22"/>
        </w:rPr>
      </w:pPr>
      <w:r>
        <w:rPr>
          <w:rFonts w:ascii="Open Sans" w:eastAsia="Open Sans" w:hAnsi="Open Sans" w:cs="Open Sans"/>
          <w:sz w:val="22"/>
          <w:szCs w:val="22"/>
        </w:rPr>
        <w:t xml:space="preserve">2. </w:t>
      </w:r>
      <w:r>
        <w:rPr>
          <w:rFonts w:ascii="Open Sans" w:eastAsia="Open Sans" w:hAnsi="Open Sans" w:cs="Open Sans"/>
          <w:sz w:val="22"/>
          <w:szCs w:val="22"/>
          <w:u w:val="single"/>
        </w:rPr>
        <w:t>Office of Research</w:t>
      </w:r>
      <w:r>
        <w:rPr>
          <w:rFonts w:ascii="Open Sans" w:eastAsia="Open Sans" w:hAnsi="Open Sans" w:cs="Open Sans"/>
          <w:sz w:val="22"/>
          <w:szCs w:val="22"/>
        </w:rPr>
        <w:t xml:space="preserve">: Our efforts will improve support for funded research with additional services that ensure successful initiation, completion, compliance and post-award assistance. </w:t>
      </w:r>
    </w:p>
    <w:p w:rsidR="00F74031" w:rsidRDefault="00F74031">
      <w:pPr>
        <w:spacing w:line="276" w:lineRule="auto"/>
        <w:ind w:left="720"/>
        <w:rPr>
          <w:rFonts w:ascii="Open Sans" w:eastAsia="Open Sans" w:hAnsi="Open Sans" w:cs="Open Sans"/>
          <w:sz w:val="22"/>
          <w:szCs w:val="22"/>
        </w:rPr>
      </w:pPr>
    </w:p>
    <w:p w:rsidR="00F74031" w:rsidRDefault="00210BD9">
      <w:pPr>
        <w:spacing w:line="276" w:lineRule="auto"/>
        <w:ind w:left="720"/>
        <w:rPr>
          <w:rFonts w:ascii="Open Sans" w:eastAsia="Open Sans" w:hAnsi="Open Sans" w:cs="Open Sans"/>
          <w:sz w:val="22"/>
          <w:szCs w:val="22"/>
        </w:rPr>
      </w:pPr>
      <w:r>
        <w:rPr>
          <w:rFonts w:ascii="Open Sans" w:eastAsia="Open Sans" w:hAnsi="Open Sans" w:cs="Open Sans"/>
          <w:sz w:val="22"/>
          <w:szCs w:val="22"/>
        </w:rPr>
        <w:t xml:space="preserve">3. </w:t>
      </w:r>
      <w:r>
        <w:rPr>
          <w:rFonts w:ascii="Open Sans" w:eastAsia="Open Sans" w:hAnsi="Open Sans" w:cs="Open Sans"/>
          <w:sz w:val="22"/>
          <w:szCs w:val="22"/>
          <w:u w:val="single"/>
        </w:rPr>
        <w:t>Community Engaged and Public Scholarship</w:t>
      </w:r>
      <w:r>
        <w:rPr>
          <w:rFonts w:ascii="Open Sans" w:eastAsia="Open Sans" w:hAnsi="Open Sans" w:cs="Open Sans"/>
          <w:sz w:val="22"/>
          <w:szCs w:val="22"/>
        </w:rPr>
        <w:t>: We will leverage the Libra</w:t>
      </w:r>
      <w:r>
        <w:rPr>
          <w:rFonts w:ascii="Open Sans" w:eastAsia="Open Sans" w:hAnsi="Open Sans" w:cs="Open Sans"/>
          <w:sz w:val="22"/>
          <w:szCs w:val="22"/>
        </w:rPr>
        <w:t>ry and the Office of Community Partnerships to support research, scholarly and creative expression that leverage the transformative power of these approaches. Our efforts will enhance the infrastructure including organizational processes, communication cha</w:t>
      </w:r>
      <w:r>
        <w:rPr>
          <w:rFonts w:ascii="Open Sans" w:eastAsia="Open Sans" w:hAnsi="Open Sans" w:cs="Open Sans"/>
          <w:sz w:val="22"/>
          <w:szCs w:val="22"/>
        </w:rPr>
        <w:t xml:space="preserve">nnels, staffing, and funding that enable these kinds of scholarly work. </w:t>
      </w:r>
    </w:p>
    <w:p w:rsidR="00F74031" w:rsidRDefault="00F74031">
      <w:pPr>
        <w:spacing w:line="276" w:lineRule="auto"/>
        <w:rPr>
          <w:rFonts w:ascii="Open Sans" w:eastAsia="Open Sans" w:hAnsi="Open Sans" w:cs="Open Sans"/>
          <w:sz w:val="22"/>
          <w:szCs w:val="22"/>
        </w:rPr>
      </w:pPr>
    </w:p>
    <w:p w:rsidR="00F74031" w:rsidRDefault="00210BD9">
      <w:pPr>
        <w:spacing w:line="276" w:lineRule="auto"/>
        <w:rPr>
          <w:rFonts w:ascii="Open Sans" w:eastAsia="Open Sans" w:hAnsi="Open Sans" w:cs="Open Sans"/>
          <w:b/>
          <w:sz w:val="22"/>
          <w:szCs w:val="22"/>
        </w:rPr>
      </w:pPr>
      <w:r>
        <w:rPr>
          <w:rFonts w:ascii="Open Sans" w:eastAsia="Open Sans" w:hAnsi="Open Sans" w:cs="Open Sans"/>
          <w:b/>
          <w:sz w:val="22"/>
          <w:szCs w:val="22"/>
        </w:rPr>
        <w:t>Training and Development</w:t>
      </w:r>
    </w:p>
    <w:p w:rsidR="00F74031" w:rsidRDefault="00210BD9">
      <w:pPr>
        <w:spacing w:line="276" w:lineRule="auto"/>
        <w:rPr>
          <w:rFonts w:ascii="Open Sans" w:eastAsia="Open Sans" w:hAnsi="Open Sans" w:cs="Open Sans"/>
          <w:sz w:val="22"/>
          <w:szCs w:val="22"/>
        </w:rPr>
      </w:pPr>
      <w:r>
        <w:rPr>
          <w:rFonts w:ascii="Open Sans" w:eastAsia="Open Sans" w:hAnsi="Open Sans" w:cs="Open Sans"/>
          <w:sz w:val="22"/>
          <w:szCs w:val="22"/>
        </w:rPr>
        <w:t>Support for faculty and staff learning and growth are paramount to the success of this academic plan, and to the long term success of UW Tacoma. While many o</w:t>
      </w:r>
      <w:r>
        <w:rPr>
          <w:rFonts w:ascii="Open Sans" w:eastAsia="Open Sans" w:hAnsi="Open Sans" w:cs="Open Sans"/>
          <w:sz w:val="22"/>
          <w:szCs w:val="22"/>
        </w:rPr>
        <w:t xml:space="preserve">pportunities for learning exist across campus, we lack a coordinated framework to offer these opportunities systematically or to recognize participation and achievement. We will create and launch a learning and development program that addresses essential </w:t>
      </w:r>
      <w:r>
        <w:rPr>
          <w:rFonts w:ascii="Open Sans" w:eastAsia="Open Sans" w:hAnsi="Open Sans" w:cs="Open Sans"/>
          <w:sz w:val="22"/>
          <w:szCs w:val="22"/>
        </w:rPr>
        <w:t>areas linked to the six priorities of our strategic plan (see page 1).  These areas include:</w:t>
      </w:r>
    </w:p>
    <w:p w:rsidR="00F74031" w:rsidRDefault="00F74031">
      <w:pPr>
        <w:spacing w:line="276" w:lineRule="auto"/>
        <w:rPr>
          <w:rFonts w:ascii="Open Sans" w:eastAsia="Open Sans" w:hAnsi="Open Sans" w:cs="Open Sans"/>
          <w:sz w:val="22"/>
          <w:szCs w:val="22"/>
        </w:rPr>
      </w:pPr>
    </w:p>
    <w:p w:rsidR="00F74031" w:rsidRDefault="00210BD9">
      <w:pPr>
        <w:numPr>
          <w:ilvl w:val="0"/>
          <w:numId w:val="18"/>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u w:val="single"/>
        </w:rPr>
        <w:lastRenderedPageBreak/>
        <w:t>Teaching:</w:t>
      </w:r>
      <w:r>
        <w:rPr>
          <w:rFonts w:ascii="Open Sans" w:eastAsia="Open Sans" w:hAnsi="Open Sans" w:cs="Open Sans"/>
          <w:color w:val="000000"/>
          <w:sz w:val="22"/>
          <w:szCs w:val="22"/>
        </w:rPr>
        <w:t xml:space="preserve"> We will support learning in areas such as classroom and digital pedagogy, writing and quantitative skill development, open educational resources, and st</w:t>
      </w:r>
      <w:r>
        <w:rPr>
          <w:rFonts w:ascii="Open Sans" w:eastAsia="Open Sans" w:hAnsi="Open Sans" w:cs="Open Sans"/>
          <w:color w:val="000000"/>
          <w:sz w:val="22"/>
          <w:szCs w:val="22"/>
        </w:rPr>
        <w:t>udent success.</w:t>
      </w:r>
    </w:p>
    <w:p w:rsidR="00F74031" w:rsidRDefault="00F74031">
      <w:pPr>
        <w:pBdr>
          <w:top w:val="nil"/>
          <w:left w:val="nil"/>
          <w:bottom w:val="nil"/>
          <w:right w:val="nil"/>
          <w:between w:val="nil"/>
        </w:pBdr>
        <w:spacing w:line="276" w:lineRule="auto"/>
        <w:ind w:left="720" w:hanging="720"/>
        <w:rPr>
          <w:rFonts w:ascii="Open Sans" w:eastAsia="Open Sans" w:hAnsi="Open Sans" w:cs="Open Sans"/>
          <w:color w:val="000000"/>
          <w:sz w:val="22"/>
          <w:szCs w:val="22"/>
        </w:rPr>
      </w:pPr>
    </w:p>
    <w:p w:rsidR="00F74031" w:rsidRDefault="00210BD9">
      <w:pPr>
        <w:numPr>
          <w:ilvl w:val="0"/>
          <w:numId w:val="18"/>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u w:val="single"/>
        </w:rPr>
        <w:t>Scholarship</w:t>
      </w:r>
      <w:r>
        <w:rPr>
          <w:rFonts w:ascii="Open Sans" w:eastAsia="Open Sans" w:hAnsi="Open Sans" w:cs="Open Sans"/>
          <w:color w:val="000000"/>
          <w:sz w:val="22"/>
          <w:szCs w:val="22"/>
        </w:rPr>
        <w:t>: Our efforts will support learning around grant writing and management, manuscript writing and publication, community engagement, and digital scholarship.</w:t>
      </w:r>
    </w:p>
    <w:p w:rsidR="00F74031" w:rsidRDefault="00F74031">
      <w:pPr>
        <w:pBdr>
          <w:top w:val="nil"/>
          <w:left w:val="nil"/>
          <w:bottom w:val="nil"/>
          <w:right w:val="nil"/>
          <w:between w:val="nil"/>
        </w:pBdr>
        <w:spacing w:line="276" w:lineRule="auto"/>
        <w:ind w:left="720" w:hanging="720"/>
        <w:rPr>
          <w:rFonts w:ascii="Open Sans" w:eastAsia="Open Sans" w:hAnsi="Open Sans" w:cs="Open Sans"/>
          <w:color w:val="000000"/>
          <w:sz w:val="22"/>
          <w:szCs w:val="22"/>
        </w:rPr>
      </w:pPr>
    </w:p>
    <w:p w:rsidR="00F74031" w:rsidRDefault="00210BD9">
      <w:pPr>
        <w:numPr>
          <w:ilvl w:val="0"/>
          <w:numId w:val="18"/>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u w:val="single"/>
        </w:rPr>
        <w:t>Equity and Inclusion</w:t>
      </w:r>
      <w:r>
        <w:rPr>
          <w:rFonts w:ascii="Open Sans" w:eastAsia="Open Sans" w:hAnsi="Open Sans" w:cs="Open Sans"/>
          <w:color w:val="000000"/>
          <w:sz w:val="22"/>
          <w:szCs w:val="22"/>
        </w:rPr>
        <w:t>: We will improve knowledge of inclusive pedagogy, classroom civility, anti-bias practices, and the mentoring, recruitment and retention of diverse individuals.</w:t>
      </w:r>
    </w:p>
    <w:p w:rsidR="00F74031" w:rsidRDefault="00F74031">
      <w:pPr>
        <w:pBdr>
          <w:top w:val="nil"/>
          <w:left w:val="nil"/>
          <w:bottom w:val="nil"/>
          <w:right w:val="nil"/>
          <w:between w:val="nil"/>
        </w:pBdr>
        <w:spacing w:line="276" w:lineRule="auto"/>
        <w:ind w:left="720" w:hanging="720"/>
        <w:rPr>
          <w:rFonts w:ascii="Open Sans" w:eastAsia="Open Sans" w:hAnsi="Open Sans" w:cs="Open Sans"/>
          <w:color w:val="000000"/>
          <w:sz w:val="22"/>
          <w:szCs w:val="22"/>
        </w:rPr>
      </w:pPr>
    </w:p>
    <w:p w:rsidR="00F74031" w:rsidRDefault="00210BD9">
      <w:pPr>
        <w:numPr>
          <w:ilvl w:val="0"/>
          <w:numId w:val="18"/>
        </w:numPr>
        <w:pBdr>
          <w:top w:val="nil"/>
          <w:left w:val="nil"/>
          <w:bottom w:val="nil"/>
          <w:right w:val="nil"/>
          <w:between w:val="nil"/>
        </w:pBdr>
        <w:spacing w:line="276" w:lineRule="auto"/>
        <w:rPr>
          <w:rFonts w:ascii="Open Sans" w:eastAsia="Open Sans" w:hAnsi="Open Sans" w:cs="Open Sans"/>
          <w:sz w:val="22"/>
          <w:szCs w:val="22"/>
        </w:rPr>
      </w:pPr>
      <w:r>
        <w:rPr>
          <w:rFonts w:ascii="Open Sans" w:eastAsia="Open Sans" w:hAnsi="Open Sans" w:cs="Open Sans"/>
          <w:color w:val="000000"/>
          <w:sz w:val="22"/>
          <w:szCs w:val="22"/>
          <w:u w:val="single"/>
        </w:rPr>
        <w:t>Leadership</w:t>
      </w:r>
      <w:r>
        <w:rPr>
          <w:rFonts w:ascii="Open Sans" w:eastAsia="Open Sans" w:hAnsi="Open Sans" w:cs="Open Sans"/>
          <w:color w:val="000000"/>
          <w:sz w:val="22"/>
          <w:szCs w:val="22"/>
        </w:rPr>
        <w:t>: We will support development of capabilities in shared governance, management in ac</w:t>
      </w:r>
      <w:r>
        <w:rPr>
          <w:rFonts w:ascii="Open Sans" w:eastAsia="Open Sans" w:hAnsi="Open Sans" w:cs="Open Sans"/>
          <w:color w:val="000000"/>
          <w:sz w:val="22"/>
          <w:szCs w:val="22"/>
        </w:rPr>
        <w:t>ademic settings, employee relations and fundraising.</w:t>
      </w:r>
    </w:p>
    <w:p w:rsidR="00F74031" w:rsidRDefault="00210BD9">
      <w:pPr>
        <w:rPr>
          <w:rFonts w:ascii="Open Sans" w:eastAsia="Open Sans" w:hAnsi="Open Sans" w:cs="Open Sans"/>
          <w:b/>
          <w:sz w:val="22"/>
          <w:szCs w:val="22"/>
        </w:rPr>
      </w:pPr>
      <w:r>
        <w:br w:type="page"/>
      </w:r>
    </w:p>
    <w:p w:rsidR="00F74031" w:rsidRDefault="00210BD9">
      <w:pPr>
        <w:spacing w:line="276" w:lineRule="auto"/>
        <w:rPr>
          <w:rFonts w:ascii="Open Sans" w:eastAsia="Open Sans" w:hAnsi="Open Sans" w:cs="Open Sans"/>
          <w:sz w:val="28"/>
          <w:szCs w:val="28"/>
        </w:rPr>
      </w:pPr>
      <w:r>
        <w:rPr>
          <w:rFonts w:ascii="Open Sans" w:eastAsia="Open Sans" w:hAnsi="Open Sans" w:cs="Open Sans"/>
          <w:b/>
          <w:sz w:val="28"/>
          <w:szCs w:val="28"/>
        </w:rPr>
        <w:lastRenderedPageBreak/>
        <w:t>Appendix 1. Stage 1 Criteria and Rubric for Existing Program Evaluation</w:t>
      </w:r>
    </w:p>
    <w:p w:rsidR="00F74031" w:rsidRDefault="00F74031">
      <w:pPr>
        <w:spacing w:line="276" w:lineRule="auto"/>
        <w:rPr>
          <w:rFonts w:ascii="Open Sans" w:eastAsia="Open Sans" w:hAnsi="Open Sans" w:cs="Open Sans"/>
          <w:sz w:val="22"/>
          <w:szCs w:val="22"/>
        </w:rPr>
      </w:pPr>
    </w:p>
    <w:p w:rsidR="00F74031" w:rsidRDefault="00210BD9">
      <w:pPr>
        <w:numPr>
          <w:ilvl w:val="0"/>
          <w:numId w:val="17"/>
        </w:numPr>
        <w:rPr>
          <w:rFonts w:ascii="Open Sans" w:eastAsia="Open Sans" w:hAnsi="Open Sans" w:cs="Open Sans"/>
          <w:b/>
          <w:sz w:val="22"/>
          <w:szCs w:val="22"/>
        </w:rPr>
      </w:pPr>
      <w:r>
        <w:rPr>
          <w:rFonts w:ascii="Open Sans" w:eastAsia="Open Sans" w:hAnsi="Open Sans" w:cs="Open Sans"/>
          <w:b/>
          <w:sz w:val="22"/>
          <w:szCs w:val="22"/>
        </w:rPr>
        <w:t>Alignment with Mission and Strategic Plan</w:t>
      </w:r>
    </w:p>
    <w:p w:rsidR="00F74031" w:rsidRDefault="00210BD9">
      <w:pPr>
        <w:numPr>
          <w:ilvl w:val="0"/>
          <w:numId w:val="10"/>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Advancement of UWT’s vision and mission as an urban serving university</w:t>
      </w:r>
    </w:p>
    <w:p w:rsidR="00F74031" w:rsidRDefault="00210BD9">
      <w:pPr>
        <w:numPr>
          <w:ilvl w:val="0"/>
          <w:numId w:val="10"/>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Relationship to the impact goals identified in the strategic plan</w:t>
      </w:r>
    </w:p>
    <w:p w:rsidR="00F74031" w:rsidRDefault="00F74031">
      <w:pPr>
        <w:rPr>
          <w:rFonts w:ascii="Open Sans" w:eastAsia="Open Sans" w:hAnsi="Open Sans" w:cs="Open Sans"/>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070"/>
        <w:gridCol w:w="2700"/>
        <w:gridCol w:w="2425"/>
      </w:tblGrid>
      <w:tr w:rsidR="00F74031">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Is a distinctive element of UWT’s mission</w:t>
            </w:r>
          </w:p>
        </w:tc>
        <w:tc>
          <w:tcPr>
            <w:tcW w:w="207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Supports UWT’s mission</w:t>
            </w:r>
          </w:p>
        </w:tc>
        <w:tc>
          <w:tcPr>
            <w:tcW w:w="270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Has limited connection to UWT’s mission</w:t>
            </w:r>
          </w:p>
        </w:tc>
        <w:tc>
          <w:tcPr>
            <w:tcW w:w="242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Is unrelated to UWT’s mission</w:t>
            </w:r>
          </w:p>
        </w:tc>
      </w:tr>
      <w:tr w:rsidR="00F74031">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Program directly advances multiple impact goals of th</w:t>
            </w:r>
            <w:r>
              <w:rPr>
                <w:rFonts w:ascii="Open Sans" w:eastAsia="Open Sans" w:hAnsi="Open Sans" w:cs="Open Sans"/>
                <w:sz w:val="20"/>
                <w:szCs w:val="20"/>
              </w:rPr>
              <w:t>e strategic plan</w:t>
            </w:r>
          </w:p>
        </w:tc>
        <w:tc>
          <w:tcPr>
            <w:tcW w:w="207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Program directly advances one impact goal of the strategic plan</w:t>
            </w:r>
          </w:p>
        </w:tc>
        <w:tc>
          <w:tcPr>
            <w:tcW w:w="270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Program supports strategic plan but does not directly address an impact goal.</w:t>
            </w:r>
          </w:p>
        </w:tc>
        <w:tc>
          <w:tcPr>
            <w:tcW w:w="242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Program is unrelated to advancing impact goals of the strategic plan</w:t>
            </w:r>
          </w:p>
        </w:tc>
      </w:tr>
    </w:tbl>
    <w:p w:rsidR="00F74031" w:rsidRDefault="00F74031">
      <w:pPr>
        <w:rPr>
          <w:rFonts w:ascii="Open Sans" w:eastAsia="Open Sans" w:hAnsi="Open Sans" w:cs="Open Sans"/>
          <w:sz w:val="20"/>
          <w:szCs w:val="20"/>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Comments: (optional; 250 w</w:t>
      </w:r>
      <w:r>
        <w:rPr>
          <w:rFonts w:ascii="Open Sans" w:eastAsia="Open Sans" w:hAnsi="Open Sans" w:cs="Open Sans"/>
          <w:sz w:val="22"/>
          <w:szCs w:val="22"/>
        </w:rPr>
        <w:t>ord limit)</w:t>
      </w:r>
    </w:p>
    <w:p w:rsidR="00F74031" w:rsidRDefault="00F74031">
      <w:pPr>
        <w:rPr>
          <w:rFonts w:ascii="Open Sans" w:eastAsia="Open Sans" w:hAnsi="Open Sans" w:cs="Open Sans"/>
          <w:sz w:val="22"/>
          <w:szCs w:val="22"/>
        </w:rPr>
      </w:pPr>
    </w:p>
    <w:p w:rsidR="00F74031" w:rsidRDefault="00F74031">
      <w:pPr>
        <w:rPr>
          <w:rFonts w:ascii="Open Sans" w:eastAsia="Open Sans" w:hAnsi="Open Sans" w:cs="Open Sans"/>
          <w:sz w:val="22"/>
          <w:szCs w:val="22"/>
        </w:rPr>
      </w:pPr>
    </w:p>
    <w:p w:rsidR="00F74031" w:rsidRDefault="00210BD9">
      <w:pPr>
        <w:numPr>
          <w:ilvl w:val="0"/>
          <w:numId w:val="17"/>
        </w:numPr>
        <w:rPr>
          <w:rFonts w:ascii="Open Sans" w:eastAsia="Open Sans" w:hAnsi="Open Sans" w:cs="Open Sans"/>
          <w:b/>
          <w:sz w:val="22"/>
          <w:szCs w:val="22"/>
        </w:rPr>
      </w:pPr>
      <w:r>
        <w:rPr>
          <w:rFonts w:ascii="Open Sans" w:eastAsia="Open Sans" w:hAnsi="Open Sans" w:cs="Open Sans"/>
          <w:b/>
          <w:sz w:val="22"/>
          <w:szCs w:val="22"/>
        </w:rPr>
        <w:t>Program Productivity</w:t>
      </w:r>
    </w:p>
    <w:p w:rsidR="00F74031" w:rsidRDefault="00210BD9">
      <w:pPr>
        <w:numPr>
          <w:ilvl w:val="0"/>
          <w:numId w:val="12"/>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 xml:space="preserve">Five year enrollment </w:t>
      </w:r>
    </w:p>
    <w:p w:rsidR="00F74031" w:rsidRDefault="00210BD9">
      <w:pPr>
        <w:numPr>
          <w:ilvl w:val="0"/>
          <w:numId w:val="12"/>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 xml:space="preserve">Number of graduates </w:t>
      </w:r>
    </w:p>
    <w:p w:rsidR="00F74031" w:rsidRDefault="00210BD9">
      <w:pPr>
        <w:numPr>
          <w:ilvl w:val="0"/>
          <w:numId w:val="12"/>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Student credit hours</w:t>
      </w:r>
    </w:p>
    <w:p w:rsidR="00F74031" w:rsidRDefault="00210BD9">
      <w:pPr>
        <w:numPr>
          <w:ilvl w:val="0"/>
          <w:numId w:val="12"/>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Student to faculty ratio (average by headcount)</w:t>
      </w:r>
    </w:p>
    <w:p w:rsidR="00F74031" w:rsidRDefault="00F74031">
      <w:pPr>
        <w:pBdr>
          <w:top w:val="nil"/>
          <w:left w:val="nil"/>
          <w:bottom w:val="nil"/>
          <w:right w:val="nil"/>
          <w:between w:val="nil"/>
        </w:pBdr>
        <w:ind w:left="720" w:hanging="720"/>
        <w:rPr>
          <w:rFonts w:ascii="Open Sans" w:eastAsia="Open Sans" w:hAnsi="Open Sans" w:cs="Open Sans"/>
          <w:color w:val="000000"/>
          <w:sz w:val="22"/>
          <w:szCs w:val="22"/>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467"/>
        <w:gridCol w:w="1403"/>
        <w:gridCol w:w="934"/>
        <w:gridCol w:w="936"/>
        <w:gridCol w:w="1402"/>
        <w:gridCol w:w="468"/>
        <w:gridCol w:w="1870"/>
      </w:tblGrid>
      <w:tr w:rsidR="00F74031">
        <w:tc>
          <w:tcPr>
            <w:tcW w:w="2337"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Top quartile enrollment of majors </w:t>
            </w:r>
          </w:p>
        </w:tc>
        <w:tc>
          <w:tcPr>
            <w:tcW w:w="2337"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Second quartile enrollment of majors </w:t>
            </w:r>
          </w:p>
        </w:tc>
        <w:tc>
          <w:tcPr>
            <w:tcW w:w="2338"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Third quartile enrollment of majors </w:t>
            </w:r>
          </w:p>
        </w:tc>
        <w:tc>
          <w:tcPr>
            <w:tcW w:w="2338"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Bottom quartile enrollment of majors </w:t>
            </w:r>
          </w:p>
        </w:tc>
      </w:tr>
      <w:tr w:rsidR="00F74031">
        <w:tc>
          <w:tcPr>
            <w:tcW w:w="2337"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Top quartile enrollment of </w:t>
            </w:r>
            <w:proofErr w:type="spellStart"/>
            <w:r>
              <w:rPr>
                <w:rFonts w:ascii="Open Sans" w:eastAsia="Open Sans" w:hAnsi="Open Sans" w:cs="Open Sans"/>
                <w:sz w:val="20"/>
                <w:szCs w:val="20"/>
              </w:rPr>
              <w:t>degrees</w:t>
            </w:r>
            <w:proofErr w:type="spellEnd"/>
            <w:r>
              <w:rPr>
                <w:rFonts w:ascii="Open Sans" w:eastAsia="Open Sans" w:hAnsi="Open Sans" w:cs="Open Sans"/>
                <w:sz w:val="20"/>
                <w:szCs w:val="20"/>
              </w:rPr>
              <w:t xml:space="preserve"> granted</w:t>
            </w:r>
          </w:p>
        </w:tc>
        <w:tc>
          <w:tcPr>
            <w:tcW w:w="2337"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Second quartile enrollment of </w:t>
            </w:r>
            <w:proofErr w:type="spellStart"/>
            <w:r>
              <w:rPr>
                <w:rFonts w:ascii="Open Sans" w:eastAsia="Open Sans" w:hAnsi="Open Sans" w:cs="Open Sans"/>
                <w:sz w:val="20"/>
                <w:szCs w:val="20"/>
              </w:rPr>
              <w:t>degrees</w:t>
            </w:r>
            <w:proofErr w:type="spellEnd"/>
            <w:r>
              <w:rPr>
                <w:rFonts w:ascii="Open Sans" w:eastAsia="Open Sans" w:hAnsi="Open Sans" w:cs="Open Sans"/>
                <w:sz w:val="20"/>
                <w:szCs w:val="20"/>
              </w:rPr>
              <w:t xml:space="preserve"> granted</w:t>
            </w:r>
          </w:p>
        </w:tc>
        <w:tc>
          <w:tcPr>
            <w:tcW w:w="2338"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Third quartile enrollment of </w:t>
            </w:r>
            <w:proofErr w:type="spellStart"/>
            <w:r>
              <w:rPr>
                <w:rFonts w:ascii="Open Sans" w:eastAsia="Open Sans" w:hAnsi="Open Sans" w:cs="Open Sans"/>
                <w:sz w:val="20"/>
                <w:szCs w:val="20"/>
              </w:rPr>
              <w:t>degrees</w:t>
            </w:r>
            <w:proofErr w:type="spellEnd"/>
            <w:r>
              <w:rPr>
                <w:rFonts w:ascii="Open Sans" w:eastAsia="Open Sans" w:hAnsi="Open Sans" w:cs="Open Sans"/>
                <w:sz w:val="20"/>
                <w:szCs w:val="20"/>
              </w:rPr>
              <w:t xml:space="preserve"> granted</w:t>
            </w:r>
          </w:p>
        </w:tc>
        <w:tc>
          <w:tcPr>
            <w:tcW w:w="2338"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Bottom quartile enrollment of </w:t>
            </w:r>
            <w:proofErr w:type="spellStart"/>
            <w:r>
              <w:rPr>
                <w:rFonts w:ascii="Open Sans" w:eastAsia="Open Sans" w:hAnsi="Open Sans" w:cs="Open Sans"/>
                <w:sz w:val="20"/>
                <w:szCs w:val="20"/>
              </w:rPr>
              <w:t>degrees</w:t>
            </w:r>
            <w:proofErr w:type="spellEnd"/>
            <w:r>
              <w:rPr>
                <w:rFonts w:ascii="Open Sans" w:eastAsia="Open Sans" w:hAnsi="Open Sans" w:cs="Open Sans"/>
                <w:sz w:val="20"/>
                <w:szCs w:val="20"/>
              </w:rPr>
              <w:t xml:space="preserve"> granted</w:t>
            </w:r>
          </w:p>
        </w:tc>
      </w:tr>
      <w:tr w:rsidR="00F74031">
        <w:tc>
          <w:tcPr>
            <w:tcW w:w="2337"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Top quartile student credit hours</w:t>
            </w:r>
          </w:p>
        </w:tc>
        <w:tc>
          <w:tcPr>
            <w:tcW w:w="2337"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Second quartile student credit hours</w:t>
            </w:r>
          </w:p>
        </w:tc>
        <w:tc>
          <w:tcPr>
            <w:tcW w:w="2338"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Third quartile student credit hours</w:t>
            </w:r>
          </w:p>
        </w:tc>
        <w:tc>
          <w:tcPr>
            <w:tcW w:w="2338"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Bottom quartile student credit hours</w:t>
            </w:r>
          </w:p>
        </w:tc>
      </w:tr>
      <w:tr w:rsidR="00F74031">
        <w:tc>
          <w:tcPr>
            <w:tcW w:w="187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15 or less</w:t>
            </w:r>
          </w:p>
        </w:tc>
        <w:tc>
          <w:tcPr>
            <w:tcW w:w="1870"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15.1 to 20</w:t>
            </w:r>
          </w:p>
        </w:tc>
        <w:tc>
          <w:tcPr>
            <w:tcW w:w="1870"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20.1 to 25</w:t>
            </w:r>
          </w:p>
        </w:tc>
        <w:tc>
          <w:tcPr>
            <w:tcW w:w="1870" w:type="dxa"/>
            <w:gridSpan w:val="2"/>
          </w:tcPr>
          <w:p w:rsidR="00F74031" w:rsidRDefault="00210BD9">
            <w:pPr>
              <w:rPr>
                <w:rFonts w:ascii="Open Sans" w:eastAsia="Open Sans" w:hAnsi="Open Sans" w:cs="Open Sans"/>
                <w:sz w:val="20"/>
                <w:szCs w:val="20"/>
              </w:rPr>
            </w:pPr>
            <w:r>
              <w:rPr>
                <w:rFonts w:ascii="Open Sans" w:eastAsia="Open Sans" w:hAnsi="Open Sans" w:cs="Open Sans"/>
                <w:sz w:val="20"/>
                <w:szCs w:val="20"/>
              </w:rPr>
              <w:t>25.1 to 30</w:t>
            </w:r>
          </w:p>
        </w:tc>
        <w:tc>
          <w:tcPr>
            <w:tcW w:w="187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30.1 or more</w:t>
            </w:r>
          </w:p>
        </w:tc>
      </w:tr>
    </w:tbl>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Comments: (optional; 250 word limit)</w:t>
      </w:r>
    </w:p>
    <w:p w:rsidR="00F74031" w:rsidRDefault="00F74031">
      <w:pPr>
        <w:rPr>
          <w:rFonts w:ascii="Open Sans" w:eastAsia="Open Sans" w:hAnsi="Open Sans" w:cs="Open Sans"/>
          <w:sz w:val="22"/>
          <w:szCs w:val="22"/>
        </w:rPr>
      </w:pP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b/>
          <w:sz w:val="20"/>
          <w:szCs w:val="20"/>
        </w:rPr>
      </w:pPr>
      <w:r>
        <w:rPr>
          <w:rFonts w:ascii="Open Sans" w:eastAsia="Open Sans" w:hAnsi="Open Sans" w:cs="Open Sans"/>
          <w:b/>
          <w:sz w:val="22"/>
          <w:szCs w:val="22"/>
        </w:rPr>
        <w:t>3. Internal and Community Demand</w:t>
      </w:r>
    </w:p>
    <w:p w:rsidR="00F74031" w:rsidRDefault="00210BD9">
      <w:pPr>
        <w:numPr>
          <w:ilvl w:val="0"/>
          <w:numId w:val="27"/>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Enrollment growth</w:t>
      </w:r>
    </w:p>
    <w:p w:rsidR="00F74031" w:rsidRDefault="00210BD9">
      <w:pPr>
        <w:numPr>
          <w:ilvl w:val="0"/>
          <w:numId w:val="27"/>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Coursework serves other programs</w:t>
      </w:r>
    </w:p>
    <w:p w:rsidR="00F74031" w:rsidRDefault="00210BD9">
      <w:pPr>
        <w:numPr>
          <w:ilvl w:val="0"/>
          <w:numId w:val="27"/>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External demand (If no data available, do not respond)</w:t>
      </w:r>
    </w:p>
    <w:p w:rsidR="00F74031" w:rsidRDefault="00210BD9">
      <w:pPr>
        <w:numPr>
          <w:ilvl w:val="0"/>
          <w:numId w:val="27"/>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Community engagement (If no data available, do not respond)</w:t>
      </w:r>
    </w:p>
    <w:p w:rsidR="00F74031" w:rsidRDefault="00F74031">
      <w:pPr>
        <w:pBdr>
          <w:top w:val="nil"/>
          <w:left w:val="nil"/>
          <w:bottom w:val="nil"/>
          <w:right w:val="nil"/>
          <w:between w:val="nil"/>
        </w:pBdr>
        <w:ind w:left="720" w:hanging="720"/>
        <w:rPr>
          <w:rFonts w:ascii="Open Sans" w:eastAsia="Open Sans" w:hAnsi="Open Sans" w:cs="Open Sans"/>
          <w:color w:val="000000"/>
          <w:sz w:val="22"/>
          <w:szCs w:val="22"/>
        </w:rPr>
      </w:pPr>
    </w:p>
    <w:p w:rsidR="00F74031" w:rsidRDefault="00F74031">
      <w:pPr>
        <w:pBdr>
          <w:top w:val="nil"/>
          <w:left w:val="nil"/>
          <w:bottom w:val="nil"/>
          <w:right w:val="nil"/>
          <w:between w:val="nil"/>
        </w:pBdr>
        <w:ind w:left="720" w:hanging="720"/>
        <w:rPr>
          <w:rFonts w:ascii="Open Sans" w:eastAsia="Open Sans" w:hAnsi="Open Sans" w:cs="Open Sans"/>
          <w:color w:val="000000"/>
          <w:sz w:val="22"/>
          <w:szCs w:val="22"/>
        </w:rPr>
      </w:pPr>
    </w:p>
    <w:p w:rsidR="00F74031" w:rsidRDefault="00F74031">
      <w:pPr>
        <w:pBdr>
          <w:top w:val="nil"/>
          <w:left w:val="nil"/>
          <w:bottom w:val="nil"/>
          <w:right w:val="nil"/>
          <w:between w:val="nil"/>
        </w:pBdr>
        <w:ind w:left="720" w:hanging="720"/>
        <w:rPr>
          <w:rFonts w:ascii="Open Sans" w:eastAsia="Open Sans" w:hAnsi="Open Sans" w:cs="Open Sans"/>
          <w:color w:val="000000"/>
          <w:sz w:val="22"/>
          <w:szCs w:val="22"/>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429"/>
        <w:gridCol w:w="2521"/>
        <w:gridCol w:w="2155"/>
      </w:tblGrid>
      <w:tr w:rsidR="00F74031">
        <w:tc>
          <w:tcPr>
            <w:tcW w:w="224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Very high enrollment growth</w:t>
            </w:r>
          </w:p>
        </w:tc>
        <w:tc>
          <w:tcPr>
            <w:tcW w:w="2429"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Growing enrollment</w:t>
            </w:r>
          </w:p>
        </w:tc>
        <w:tc>
          <w:tcPr>
            <w:tcW w:w="2521"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Stable enrollment</w:t>
            </w:r>
          </w:p>
        </w:tc>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Shrinking enrollment</w:t>
            </w:r>
          </w:p>
        </w:tc>
      </w:tr>
      <w:tr w:rsidR="00F74031">
        <w:tc>
          <w:tcPr>
            <w:tcW w:w="224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Courses required by other programs</w:t>
            </w:r>
          </w:p>
        </w:tc>
        <w:tc>
          <w:tcPr>
            <w:tcW w:w="2429"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Courses are electives for other programs</w:t>
            </w:r>
          </w:p>
        </w:tc>
        <w:tc>
          <w:tcPr>
            <w:tcW w:w="2521"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Courses serve general education needs and non-majors</w:t>
            </w:r>
          </w:p>
        </w:tc>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Courses primarily for majors/minors</w:t>
            </w:r>
          </w:p>
        </w:tc>
      </w:tr>
      <w:tr w:rsidR="00F74031">
        <w:tc>
          <w:tcPr>
            <w:tcW w:w="224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Very high external demand</w:t>
            </w:r>
          </w:p>
        </w:tc>
        <w:tc>
          <w:tcPr>
            <w:tcW w:w="2429"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Growing external demand</w:t>
            </w:r>
          </w:p>
        </w:tc>
        <w:tc>
          <w:tcPr>
            <w:tcW w:w="2521"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Stable external demand</w:t>
            </w:r>
          </w:p>
        </w:tc>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Shrinking external demand</w:t>
            </w:r>
          </w:p>
        </w:tc>
      </w:tr>
      <w:tr w:rsidR="00F74031">
        <w:tc>
          <w:tcPr>
            <w:tcW w:w="224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Very high external engagement</w:t>
            </w:r>
          </w:p>
        </w:tc>
        <w:tc>
          <w:tcPr>
            <w:tcW w:w="2429"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High external engagement</w:t>
            </w:r>
          </w:p>
        </w:tc>
        <w:tc>
          <w:tcPr>
            <w:tcW w:w="2521"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Moderate external engagement</w:t>
            </w:r>
          </w:p>
        </w:tc>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Limited external engagement</w:t>
            </w:r>
          </w:p>
        </w:tc>
      </w:tr>
    </w:tbl>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Describe what benchmarks you used to assess external demand (e.g. graduate Employment in field of study, transfer r</w:t>
      </w:r>
      <w:r>
        <w:rPr>
          <w:rFonts w:ascii="Open Sans" w:eastAsia="Open Sans" w:hAnsi="Open Sans" w:cs="Open Sans"/>
          <w:sz w:val="22"/>
          <w:szCs w:val="22"/>
        </w:rPr>
        <w:t xml:space="preserve">ates, turndown rates for competitive programs, high school student demand, Bureau of Labor Statistics or state data). </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Describe what data you used to assess community engagement (e.g. community partnerships, research and teaching, internships, etc.).</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Com</w:t>
      </w:r>
      <w:r>
        <w:rPr>
          <w:rFonts w:ascii="Open Sans" w:eastAsia="Open Sans" w:hAnsi="Open Sans" w:cs="Open Sans"/>
          <w:sz w:val="22"/>
          <w:szCs w:val="22"/>
        </w:rPr>
        <w:t>ments (optional; 250 word limit)</w:t>
      </w:r>
    </w:p>
    <w:p w:rsidR="00F74031" w:rsidRDefault="00F74031">
      <w:pPr>
        <w:rPr>
          <w:rFonts w:ascii="Open Sans" w:eastAsia="Open Sans" w:hAnsi="Open Sans" w:cs="Open Sans"/>
          <w:sz w:val="22"/>
          <w:szCs w:val="22"/>
        </w:rPr>
      </w:pP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b/>
          <w:sz w:val="22"/>
          <w:szCs w:val="22"/>
        </w:rPr>
      </w:pPr>
      <w:r>
        <w:rPr>
          <w:rFonts w:ascii="Open Sans" w:eastAsia="Open Sans" w:hAnsi="Open Sans" w:cs="Open Sans"/>
          <w:b/>
          <w:sz w:val="22"/>
          <w:szCs w:val="22"/>
        </w:rPr>
        <w:t>4. Program Quality</w:t>
      </w:r>
    </w:p>
    <w:p w:rsidR="00F74031" w:rsidRDefault="00210BD9">
      <w:pPr>
        <w:numPr>
          <w:ilvl w:val="0"/>
          <w:numId w:val="30"/>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 xml:space="preserve">Implementation of program assessment </w:t>
      </w:r>
    </w:p>
    <w:p w:rsidR="00F74031" w:rsidRDefault="00210BD9">
      <w:pPr>
        <w:numPr>
          <w:ilvl w:val="0"/>
          <w:numId w:val="27"/>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Success of graduates (If no data available, do not respond)</w:t>
      </w:r>
    </w:p>
    <w:p w:rsidR="00F74031" w:rsidRDefault="00210BD9">
      <w:pPr>
        <w:numPr>
          <w:ilvl w:val="0"/>
          <w:numId w:val="27"/>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Recognition of program quality (If no data available, do not respond)</w:t>
      </w:r>
    </w:p>
    <w:p w:rsidR="00F74031" w:rsidRDefault="00F74031">
      <w:pPr>
        <w:pBdr>
          <w:top w:val="nil"/>
          <w:left w:val="nil"/>
          <w:bottom w:val="nil"/>
          <w:right w:val="nil"/>
          <w:between w:val="nil"/>
        </w:pBdr>
        <w:ind w:left="720" w:hanging="720"/>
        <w:rPr>
          <w:rFonts w:ascii="Open Sans" w:eastAsia="Open Sans" w:hAnsi="Open Sans" w:cs="Open Sans"/>
          <w:color w:val="000000"/>
          <w:sz w:val="22"/>
          <w:szCs w:val="22"/>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F74031">
        <w:tc>
          <w:tcPr>
            <w:tcW w:w="2337"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Thorough internal program assessment fully implemented and ongoing</w:t>
            </w:r>
          </w:p>
        </w:tc>
        <w:tc>
          <w:tcPr>
            <w:tcW w:w="2337"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Assessment is developed but not fully implemented and/or not ongoing</w:t>
            </w:r>
          </w:p>
        </w:tc>
        <w:tc>
          <w:tcPr>
            <w:tcW w:w="2338"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Assessment is in development</w:t>
            </w:r>
          </w:p>
        </w:tc>
        <w:tc>
          <w:tcPr>
            <w:tcW w:w="2338"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Assessment is limited to UW or external review</w:t>
            </w:r>
          </w:p>
        </w:tc>
      </w:tr>
      <w:tr w:rsidR="00F74031">
        <w:tc>
          <w:tcPr>
            <w:tcW w:w="2337"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Graduates consistently work or go on to advanced study in their field or a related field.</w:t>
            </w:r>
          </w:p>
        </w:tc>
        <w:tc>
          <w:tcPr>
            <w:tcW w:w="2337"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Graduates are likely to find employment or may go on to advanced study in their field or a related field.</w:t>
            </w:r>
          </w:p>
        </w:tc>
        <w:tc>
          <w:tcPr>
            <w:tcW w:w="2338"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Graduates are unlikely to find employment or pursue advanced</w:t>
            </w:r>
            <w:r>
              <w:rPr>
                <w:rFonts w:ascii="Open Sans" w:eastAsia="Open Sans" w:hAnsi="Open Sans" w:cs="Open Sans"/>
                <w:sz w:val="20"/>
                <w:szCs w:val="20"/>
              </w:rPr>
              <w:t xml:space="preserve"> study in their field or a related field.</w:t>
            </w:r>
          </w:p>
        </w:tc>
        <w:tc>
          <w:tcPr>
            <w:tcW w:w="2338"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Graduates are very unlikely to find employment or pursue advanced study in their field or a related field.</w:t>
            </w:r>
          </w:p>
        </w:tc>
      </w:tr>
      <w:tr w:rsidR="00F74031">
        <w:tc>
          <w:tcPr>
            <w:tcW w:w="2337"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National/international recognition of program quality</w:t>
            </w:r>
          </w:p>
        </w:tc>
        <w:tc>
          <w:tcPr>
            <w:tcW w:w="2337"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Regional recognition of program quality</w:t>
            </w:r>
          </w:p>
        </w:tc>
        <w:tc>
          <w:tcPr>
            <w:tcW w:w="2338"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Local recogn</w:t>
            </w:r>
            <w:r>
              <w:rPr>
                <w:rFonts w:ascii="Open Sans" w:eastAsia="Open Sans" w:hAnsi="Open Sans" w:cs="Open Sans"/>
                <w:sz w:val="20"/>
                <w:szCs w:val="20"/>
              </w:rPr>
              <w:t>ition of program quality</w:t>
            </w:r>
          </w:p>
        </w:tc>
        <w:tc>
          <w:tcPr>
            <w:tcW w:w="2338"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Limited outside recognition of program quality</w:t>
            </w:r>
          </w:p>
        </w:tc>
      </w:tr>
    </w:tbl>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Describe data used to assess the success of graduates</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Describe data used to assess recognition of program quality</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b/>
        </w:rPr>
      </w:pPr>
      <w:r>
        <w:rPr>
          <w:rFonts w:ascii="Open Sans" w:eastAsia="Open Sans" w:hAnsi="Open Sans" w:cs="Open Sans"/>
          <w:sz w:val="22"/>
          <w:szCs w:val="22"/>
        </w:rPr>
        <w:lastRenderedPageBreak/>
        <w:t>Comments (optional; 250 word limit)</w:t>
      </w:r>
    </w:p>
    <w:p w:rsidR="00F74031" w:rsidRDefault="00F74031">
      <w:pPr>
        <w:rPr>
          <w:rFonts w:ascii="Open Sans" w:eastAsia="Open Sans" w:hAnsi="Open Sans" w:cs="Open Sans"/>
          <w:b/>
        </w:rPr>
      </w:pPr>
    </w:p>
    <w:p w:rsidR="00F74031" w:rsidRDefault="00210BD9">
      <w:pPr>
        <w:rPr>
          <w:rFonts w:ascii="Open Sans" w:eastAsia="Open Sans" w:hAnsi="Open Sans" w:cs="Open Sans"/>
          <w:sz w:val="20"/>
          <w:szCs w:val="20"/>
        </w:rPr>
      </w:pPr>
      <w:r>
        <w:rPr>
          <w:rFonts w:ascii="Open Sans" w:eastAsia="Open Sans" w:hAnsi="Open Sans" w:cs="Open Sans"/>
          <w:b/>
          <w:sz w:val="22"/>
          <w:szCs w:val="22"/>
        </w:rPr>
        <w:t>5. Human, Physical and Techni</w:t>
      </w:r>
      <w:r>
        <w:rPr>
          <w:rFonts w:ascii="Open Sans" w:eastAsia="Open Sans" w:hAnsi="Open Sans" w:cs="Open Sans"/>
          <w:b/>
          <w:sz w:val="22"/>
          <w:szCs w:val="22"/>
        </w:rPr>
        <w:t>cal Resources</w:t>
      </w:r>
    </w:p>
    <w:p w:rsidR="00F74031" w:rsidRDefault="00210BD9">
      <w:pPr>
        <w:numPr>
          <w:ilvl w:val="0"/>
          <w:numId w:val="21"/>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Sufficiency of faculty and staff to support quality instruction and timely student success</w:t>
      </w:r>
    </w:p>
    <w:p w:rsidR="00F74031" w:rsidRDefault="00210BD9">
      <w:pPr>
        <w:numPr>
          <w:ilvl w:val="0"/>
          <w:numId w:val="21"/>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 xml:space="preserve">Adequacy of facilities and equipment </w:t>
      </w:r>
    </w:p>
    <w:p w:rsidR="00F74031" w:rsidRDefault="00210BD9">
      <w:pPr>
        <w:numPr>
          <w:ilvl w:val="0"/>
          <w:numId w:val="21"/>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 xml:space="preserve">Adequacy of technology and information resources </w:t>
      </w:r>
    </w:p>
    <w:p w:rsidR="00F74031" w:rsidRDefault="00F74031">
      <w:pPr>
        <w:rPr>
          <w:rFonts w:ascii="Open Sans" w:eastAsia="Open Sans" w:hAnsi="Open Sans" w:cs="Open Sans"/>
          <w:sz w:val="22"/>
          <w:szCs w:val="22"/>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8"/>
        <w:gridCol w:w="2343"/>
        <w:gridCol w:w="2664"/>
        <w:gridCol w:w="2155"/>
      </w:tblGrid>
      <w:tr w:rsidR="00F74031">
        <w:tc>
          <w:tcPr>
            <w:tcW w:w="2188"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Personnel are optimal for course delivery, instruction, and research. </w:t>
            </w:r>
          </w:p>
        </w:tc>
        <w:tc>
          <w:tcPr>
            <w:tcW w:w="2343"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Personnel are acceptable for course delivery, instruction, and research.</w:t>
            </w:r>
          </w:p>
        </w:tc>
        <w:tc>
          <w:tcPr>
            <w:tcW w:w="2664"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Personnel need additions/improvements to meet faculty and student needs.</w:t>
            </w:r>
          </w:p>
        </w:tc>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Personnel are unacceptable for meeting </w:t>
            </w:r>
            <w:r>
              <w:rPr>
                <w:rFonts w:ascii="Open Sans" w:eastAsia="Open Sans" w:hAnsi="Open Sans" w:cs="Open Sans"/>
                <w:sz w:val="20"/>
                <w:szCs w:val="20"/>
              </w:rPr>
              <w:t>instructional needs.</w:t>
            </w:r>
          </w:p>
        </w:tc>
      </w:tr>
      <w:tr w:rsidR="00F74031">
        <w:tc>
          <w:tcPr>
            <w:tcW w:w="2188"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Facilities are optimal for course delivery, instruction, and research</w:t>
            </w:r>
          </w:p>
        </w:tc>
        <w:tc>
          <w:tcPr>
            <w:tcW w:w="2343"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Facilities are acceptable for course delivery, instruction, and research.</w:t>
            </w:r>
          </w:p>
        </w:tc>
        <w:tc>
          <w:tcPr>
            <w:tcW w:w="2664"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Facilities need improvements to meet faculty and student needs.</w:t>
            </w:r>
          </w:p>
        </w:tc>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Facilities are unacceptabl</w:t>
            </w:r>
            <w:r>
              <w:rPr>
                <w:rFonts w:ascii="Open Sans" w:eastAsia="Open Sans" w:hAnsi="Open Sans" w:cs="Open Sans"/>
                <w:sz w:val="20"/>
                <w:szCs w:val="20"/>
              </w:rPr>
              <w:t>e for meeting instructional needs.</w:t>
            </w:r>
          </w:p>
        </w:tc>
      </w:tr>
      <w:tr w:rsidR="00F74031">
        <w:tc>
          <w:tcPr>
            <w:tcW w:w="2188"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Technology and information services are optimal for course delivery, instruction, and research</w:t>
            </w:r>
          </w:p>
        </w:tc>
        <w:tc>
          <w:tcPr>
            <w:tcW w:w="2343"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Technology and information services are acceptable for course delivery, instruction, and research.</w:t>
            </w:r>
          </w:p>
        </w:tc>
        <w:tc>
          <w:tcPr>
            <w:tcW w:w="2664"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Technology and information services need improvements to meet faculty and student needs.</w:t>
            </w:r>
          </w:p>
        </w:tc>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Technology and information services are unacceptable for meeting instructional needs.</w:t>
            </w:r>
          </w:p>
        </w:tc>
      </w:tr>
    </w:tbl>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Comments (optional; 250 word limit)</w:t>
      </w:r>
    </w:p>
    <w:p w:rsidR="00F74031" w:rsidRDefault="00F74031">
      <w:pPr>
        <w:rPr>
          <w:rFonts w:ascii="Open Sans" w:eastAsia="Open Sans" w:hAnsi="Open Sans" w:cs="Open Sans"/>
          <w:sz w:val="22"/>
          <w:szCs w:val="22"/>
        </w:rPr>
      </w:pP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b/>
          <w:sz w:val="22"/>
          <w:szCs w:val="22"/>
        </w:rPr>
      </w:pPr>
      <w:r>
        <w:rPr>
          <w:rFonts w:ascii="Open Sans" w:eastAsia="Open Sans" w:hAnsi="Open Sans" w:cs="Open Sans"/>
          <w:b/>
          <w:sz w:val="22"/>
          <w:szCs w:val="22"/>
        </w:rPr>
        <w:t>6. Future Potential for the Program</w:t>
      </w:r>
    </w:p>
    <w:p w:rsidR="00F74031" w:rsidRDefault="00210BD9">
      <w:pPr>
        <w:numPr>
          <w:ilvl w:val="0"/>
          <w:numId w:val="24"/>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New o</w:t>
      </w:r>
      <w:r>
        <w:rPr>
          <w:rFonts w:ascii="Open Sans" w:eastAsia="Open Sans" w:hAnsi="Open Sans" w:cs="Open Sans"/>
          <w:color w:val="000000"/>
          <w:sz w:val="22"/>
          <w:szCs w:val="22"/>
        </w:rPr>
        <w:t>pportunities for development</w:t>
      </w:r>
    </w:p>
    <w:p w:rsidR="00F74031" w:rsidRDefault="00210BD9">
      <w:pPr>
        <w:numPr>
          <w:ilvl w:val="0"/>
          <w:numId w:val="24"/>
        </w:num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000000"/>
          <w:sz w:val="22"/>
          <w:szCs w:val="22"/>
        </w:rPr>
        <w:t>Innovation around emerging changes in the discipline</w:t>
      </w:r>
    </w:p>
    <w:p w:rsidR="00F74031" w:rsidRDefault="00F74031">
      <w:pPr>
        <w:pBdr>
          <w:top w:val="nil"/>
          <w:left w:val="nil"/>
          <w:bottom w:val="nil"/>
          <w:right w:val="nil"/>
          <w:between w:val="nil"/>
        </w:pBdr>
        <w:ind w:left="720" w:hanging="720"/>
        <w:rPr>
          <w:rFonts w:ascii="Open Sans" w:eastAsia="Open Sans" w:hAnsi="Open Sans" w:cs="Open Sans"/>
          <w:color w:val="000000"/>
          <w:sz w:val="22"/>
          <w:szCs w:val="22"/>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250"/>
        <w:gridCol w:w="2520"/>
        <w:gridCol w:w="2155"/>
      </w:tblGrid>
      <w:tr w:rsidR="00F74031">
        <w:tc>
          <w:tcPr>
            <w:tcW w:w="242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Program can demonstrate significant new opportunities. </w:t>
            </w:r>
          </w:p>
        </w:tc>
        <w:tc>
          <w:tcPr>
            <w:tcW w:w="225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Program can demonstrate some new opportunities.</w:t>
            </w:r>
          </w:p>
        </w:tc>
        <w:tc>
          <w:tcPr>
            <w:tcW w:w="252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Program can demonstrate few new opportunities.</w:t>
            </w:r>
          </w:p>
        </w:tc>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Program can demonstrate no new opportunities.</w:t>
            </w:r>
          </w:p>
        </w:tc>
      </w:tr>
      <w:tr w:rsidR="00F74031">
        <w:tc>
          <w:tcPr>
            <w:tcW w:w="242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Program has strong orientation toward emerging changes in the discipline and frequently generates creative ideas</w:t>
            </w:r>
          </w:p>
        </w:tc>
        <w:tc>
          <w:tcPr>
            <w:tcW w:w="225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Program has an average orientation toward emerging changes in the discipline and generates some </w:t>
            </w:r>
            <w:r>
              <w:rPr>
                <w:rFonts w:ascii="Open Sans" w:eastAsia="Open Sans" w:hAnsi="Open Sans" w:cs="Open Sans"/>
                <w:sz w:val="20"/>
                <w:szCs w:val="20"/>
              </w:rPr>
              <w:t>creative ideas</w:t>
            </w:r>
          </w:p>
        </w:tc>
        <w:tc>
          <w:tcPr>
            <w:tcW w:w="252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 xml:space="preserve">Program has a limited orientation toward emerging changes in the discipline and generates few creative ideas </w:t>
            </w:r>
          </w:p>
        </w:tc>
        <w:tc>
          <w:tcPr>
            <w:tcW w:w="2155"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Program has little or no orientation toward emerging changes in the discipline</w:t>
            </w:r>
          </w:p>
        </w:tc>
      </w:tr>
    </w:tbl>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Comments (optional; 250 word limit)</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b/>
          <w:sz w:val="22"/>
          <w:szCs w:val="22"/>
        </w:rPr>
      </w:pPr>
      <w:r>
        <w:rPr>
          <w:rFonts w:ascii="Open Sans" w:eastAsia="Open Sans" w:hAnsi="Open Sans" w:cs="Open Sans"/>
          <w:b/>
          <w:sz w:val="22"/>
          <w:szCs w:val="22"/>
        </w:rPr>
        <w:t>Overall Recommendation for the Degree</w:t>
      </w:r>
    </w:p>
    <w:p w:rsidR="00F74031" w:rsidRDefault="00210BD9">
      <w:pPr>
        <w:rPr>
          <w:rFonts w:ascii="Open Sans" w:eastAsia="Open Sans" w:hAnsi="Open Sans" w:cs="Open Sans"/>
          <w:sz w:val="22"/>
          <w:szCs w:val="22"/>
        </w:rPr>
      </w:pPr>
      <w:r>
        <w:rPr>
          <w:rFonts w:ascii="Open Sans" w:eastAsia="Open Sans" w:hAnsi="Open Sans" w:cs="Open Sans"/>
          <w:sz w:val="22"/>
          <w:szCs w:val="22"/>
        </w:rPr>
        <w:t>Based on your assessment of the six categories above, what do you recommend?</w:t>
      </w:r>
    </w:p>
    <w:p w:rsidR="00F74031" w:rsidRDefault="00F74031">
      <w:pPr>
        <w:rPr>
          <w:rFonts w:ascii="Open Sans" w:eastAsia="Open Sans" w:hAnsi="Open Sans" w:cs="Open Sans"/>
          <w:sz w:val="22"/>
          <w:szCs w:val="22"/>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303"/>
        <w:gridCol w:w="2434"/>
        <w:gridCol w:w="2310"/>
      </w:tblGrid>
      <w:tr w:rsidR="00F74031">
        <w:tc>
          <w:tcPr>
            <w:tcW w:w="2303"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Grow</w:t>
            </w:r>
          </w:p>
        </w:tc>
        <w:tc>
          <w:tcPr>
            <w:tcW w:w="2303"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Maintain</w:t>
            </w:r>
          </w:p>
        </w:tc>
        <w:tc>
          <w:tcPr>
            <w:tcW w:w="2434"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Redesign</w:t>
            </w:r>
          </w:p>
        </w:tc>
        <w:tc>
          <w:tcPr>
            <w:tcW w:w="2310" w:type="dxa"/>
          </w:tcPr>
          <w:p w:rsidR="00F74031" w:rsidRDefault="00210BD9">
            <w:pPr>
              <w:rPr>
                <w:rFonts w:ascii="Open Sans" w:eastAsia="Open Sans" w:hAnsi="Open Sans" w:cs="Open Sans"/>
                <w:sz w:val="20"/>
                <w:szCs w:val="20"/>
              </w:rPr>
            </w:pPr>
            <w:r>
              <w:rPr>
                <w:rFonts w:ascii="Open Sans" w:eastAsia="Open Sans" w:hAnsi="Open Sans" w:cs="Open Sans"/>
                <w:sz w:val="20"/>
                <w:szCs w:val="20"/>
              </w:rPr>
              <w:t>Phase Out</w:t>
            </w:r>
          </w:p>
        </w:tc>
      </w:tr>
    </w:tbl>
    <w:p w:rsidR="00F74031" w:rsidRDefault="00F74031">
      <w:pPr>
        <w:spacing w:line="276" w:lineRule="auto"/>
        <w:rPr>
          <w:rFonts w:ascii="Open Sans" w:eastAsia="Open Sans" w:hAnsi="Open Sans" w:cs="Open Sans"/>
          <w:b/>
          <w:sz w:val="28"/>
          <w:szCs w:val="28"/>
        </w:rPr>
      </w:pPr>
    </w:p>
    <w:p w:rsidR="00F74031" w:rsidRDefault="00210BD9">
      <w:pPr>
        <w:rPr>
          <w:rFonts w:ascii="Open Sans" w:eastAsia="Open Sans" w:hAnsi="Open Sans" w:cs="Open Sans"/>
          <w:b/>
          <w:sz w:val="28"/>
          <w:szCs w:val="28"/>
        </w:rPr>
      </w:pPr>
      <w:r>
        <w:br w:type="page"/>
      </w:r>
    </w:p>
    <w:p w:rsidR="00F74031" w:rsidRDefault="00210BD9">
      <w:pPr>
        <w:spacing w:line="276" w:lineRule="auto"/>
        <w:rPr>
          <w:rFonts w:ascii="Open Sans" w:eastAsia="Open Sans" w:hAnsi="Open Sans" w:cs="Open Sans"/>
          <w:sz w:val="28"/>
          <w:szCs w:val="28"/>
        </w:rPr>
      </w:pPr>
      <w:r>
        <w:rPr>
          <w:rFonts w:ascii="Open Sans" w:eastAsia="Open Sans" w:hAnsi="Open Sans" w:cs="Open Sans"/>
          <w:b/>
          <w:sz w:val="28"/>
          <w:szCs w:val="28"/>
        </w:rPr>
        <w:lastRenderedPageBreak/>
        <w:t>Appendix 2.</w:t>
      </w:r>
      <w:r>
        <w:rPr>
          <w:rFonts w:ascii="Open Sans" w:eastAsia="Open Sans" w:hAnsi="Open Sans" w:cs="Open Sans"/>
          <w:sz w:val="28"/>
          <w:szCs w:val="28"/>
        </w:rPr>
        <w:t xml:space="preserve"> </w:t>
      </w:r>
      <w:r>
        <w:rPr>
          <w:rFonts w:ascii="Open Sans" w:eastAsia="Open Sans" w:hAnsi="Open Sans" w:cs="Open Sans"/>
          <w:b/>
          <w:sz w:val="28"/>
          <w:szCs w:val="28"/>
        </w:rPr>
        <w:t xml:space="preserve">Stage 2 Outcomes Presented to Faculty in </w:t>
      </w:r>
      <w:proofErr w:type="gramStart"/>
      <w:r>
        <w:rPr>
          <w:rFonts w:ascii="Open Sans" w:eastAsia="Open Sans" w:hAnsi="Open Sans" w:cs="Open Sans"/>
          <w:b/>
          <w:sz w:val="28"/>
          <w:szCs w:val="28"/>
        </w:rPr>
        <w:t>Spring</w:t>
      </w:r>
      <w:proofErr w:type="gramEnd"/>
      <w:r>
        <w:rPr>
          <w:rFonts w:ascii="Open Sans" w:eastAsia="Open Sans" w:hAnsi="Open Sans" w:cs="Open Sans"/>
          <w:b/>
          <w:sz w:val="28"/>
          <w:szCs w:val="28"/>
        </w:rPr>
        <w:t xml:space="preserve"> 2018</w:t>
      </w:r>
    </w:p>
    <w:p w:rsidR="00F74031" w:rsidRDefault="00F74031">
      <w:pPr>
        <w:spacing w:line="276" w:lineRule="auto"/>
        <w:rPr>
          <w:rFonts w:ascii="Open Sans" w:eastAsia="Open Sans" w:hAnsi="Open Sans" w:cs="Open Sans"/>
          <w:sz w:val="22"/>
          <w:szCs w:val="22"/>
        </w:rPr>
      </w:pPr>
    </w:p>
    <w:p w:rsidR="00F74031" w:rsidRDefault="00210BD9">
      <w:pPr>
        <w:jc w:val="center"/>
        <w:rPr>
          <w:rFonts w:ascii="Open Sans" w:eastAsia="Open Sans" w:hAnsi="Open Sans" w:cs="Open Sans"/>
          <w:sz w:val="22"/>
          <w:szCs w:val="22"/>
        </w:rPr>
      </w:pPr>
      <w:r>
        <w:rPr>
          <w:rFonts w:ascii="Open Sans" w:eastAsia="Open Sans" w:hAnsi="Open Sans" w:cs="Open Sans"/>
          <w:sz w:val="22"/>
          <w:szCs w:val="22"/>
        </w:rPr>
        <w:t>Academic Plan – Stage 2</w:t>
      </w:r>
    </w:p>
    <w:p w:rsidR="00F74031" w:rsidRDefault="00210BD9">
      <w:pPr>
        <w:jc w:val="center"/>
        <w:rPr>
          <w:rFonts w:ascii="Open Sans" w:eastAsia="Open Sans" w:hAnsi="Open Sans" w:cs="Open Sans"/>
          <w:sz w:val="22"/>
          <w:szCs w:val="22"/>
        </w:rPr>
      </w:pPr>
      <w:r>
        <w:rPr>
          <w:rFonts w:ascii="Open Sans" w:eastAsia="Open Sans" w:hAnsi="Open Sans" w:cs="Open Sans"/>
          <w:sz w:val="22"/>
          <w:szCs w:val="22"/>
        </w:rPr>
        <w:t xml:space="preserve">Faculty Assembly Spring 2018 Meeting </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Purpose:  To ensure that the continued growth of the academic programs at UW Tacoma is:</w:t>
      </w:r>
    </w:p>
    <w:p w:rsidR="00F74031" w:rsidRDefault="00210BD9">
      <w:pPr>
        <w:numPr>
          <w:ilvl w:val="0"/>
          <w:numId w:val="19"/>
        </w:numPr>
        <w:rPr>
          <w:rFonts w:ascii="Open Sans" w:eastAsia="Open Sans" w:hAnsi="Open Sans" w:cs="Open Sans"/>
          <w:sz w:val="22"/>
          <w:szCs w:val="22"/>
        </w:rPr>
      </w:pPr>
      <w:r>
        <w:rPr>
          <w:rFonts w:ascii="Open Sans" w:eastAsia="Open Sans" w:hAnsi="Open Sans" w:cs="Open Sans"/>
          <w:sz w:val="22"/>
          <w:szCs w:val="22"/>
        </w:rPr>
        <w:t>Determined by the faculty</w:t>
      </w:r>
    </w:p>
    <w:p w:rsidR="00F74031" w:rsidRDefault="00210BD9">
      <w:pPr>
        <w:numPr>
          <w:ilvl w:val="0"/>
          <w:numId w:val="19"/>
        </w:numPr>
        <w:rPr>
          <w:rFonts w:ascii="Open Sans" w:eastAsia="Open Sans" w:hAnsi="Open Sans" w:cs="Open Sans"/>
          <w:sz w:val="22"/>
          <w:szCs w:val="22"/>
        </w:rPr>
      </w:pPr>
      <w:r>
        <w:rPr>
          <w:rFonts w:ascii="Open Sans" w:eastAsia="Open Sans" w:hAnsi="Open Sans" w:cs="Open Sans"/>
          <w:sz w:val="22"/>
          <w:szCs w:val="22"/>
        </w:rPr>
        <w:t>Coordinated across all units</w:t>
      </w:r>
    </w:p>
    <w:p w:rsidR="00F74031" w:rsidRDefault="00210BD9">
      <w:pPr>
        <w:numPr>
          <w:ilvl w:val="0"/>
          <w:numId w:val="19"/>
        </w:numPr>
        <w:rPr>
          <w:rFonts w:ascii="Open Sans" w:eastAsia="Open Sans" w:hAnsi="Open Sans" w:cs="Open Sans"/>
          <w:sz w:val="22"/>
          <w:szCs w:val="22"/>
        </w:rPr>
      </w:pPr>
      <w:r>
        <w:rPr>
          <w:rFonts w:ascii="Open Sans" w:eastAsia="Open Sans" w:hAnsi="Open Sans" w:cs="Open Sans"/>
          <w:sz w:val="22"/>
          <w:szCs w:val="22"/>
        </w:rPr>
        <w:t>Financially sustainable</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Criteria Used in Planning (unranked):</w:t>
      </w:r>
    </w:p>
    <w:p w:rsidR="00F74031" w:rsidRDefault="00210BD9">
      <w:pPr>
        <w:numPr>
          <w:ilvl w:val="0"/>
          <w:numId w:val="20"/>
        </w:numPr>
        <w:rPr>
          <w:rFonts w:ascii="Open Sans" w:eastAsia="Open Sans" w:hAnsi="Open Sans" w:cs="Open Sans"/>
          <w:sz w:val="22"/>
          <w:szCs w:val="22"/>
        </w:rPr>
      </w:pPr>
      <w:r>
        <w:rPr>
          <w:rFonts w:ascii="Open Sans" w:eastAsia="Open Sans" w:hAnsi="Open Sans" w:cs="Open Sans"/>
          <w:sz w:val="22"/>
          <w:szCs w:val="22"/>
        </w:rPr>
        <w:t>Alignment with Strategic Plan</w:t>
      </w:r>
    </w:p>
    <w:p w:rsidR="00F74031" w:rsidRDefault="00210BD9">
      <w:pPr>
        <w:numPr>
          <w:ilvl w:val="0"/>
          <w:numId w:val="20"/>
        </w:numPr>
        <w:rPr>
          <w:rFonts w:ascii="Open Sans" w:eastAsia="Open Sans" w:hAnsi="Open Sans" w:cs="Open Sans"/>
          <w:sz w:val="22"/>
          <w:szCs w:val="22"/>
        </w:rPr>
      </w:pPr>
      <w:r>
        <w:rPr>
          <w:rFonts w:ascii="Open Sans" w:eastAsia="Open Sans" w:hAnsi="Open Sans" w:cs="Open Sans"/>
          <w:sz w:val="22"/>
          <w:szCs w:val="22"/>
        </w:rPr>
        <w:t xml:space="preserve">Campus-wide Balance of Academic Disciplines and Programs, </w:t>
      </w:r>
    </w:p>
    <w:p w:rsidR="00F74031" w:rsidRDefault="00210BD9">
      <w:pPr>
        <w:ind w:firstLine="720"/>
        <w:rPr>
          <w:rFonts w:ascii="Open Sans" w:eastAsia="Open Sans" w:hAnsi="Open Sans" w:cs="Open Sans"/>
          <w:sz w:val="22"/>
          <w:szCs w:val="22"/>
        </w:rPr>
      </w:pPr>
      <w:proofErr w:type="gramStart"/>
      <w:r>
        <w:rPr>
          <w:rFonts w:ascii="Open Sans" w:eastAsia="Open Sans" w:hAnsi="Open Sans" w:cs="Open Sans"/>
          <w:sz w:val="22"/>
          <w:szCs w:val="22"/>
        </w:rPr>
        <w:t>building</w:t>
      </w:r>
      <w:proofErr w:type="gramEnd"/>
      <w:r>
        <w:rPr>
          <w:rFonts w:ascii="Open Sans" w:eastAsia="Open Sans" w:hAnsi="Open Sans" w:cs="Open Sans"/>
          <w:sz w:val="22"/>
          <w:szCs w:val="22"/>
        </w:rPr>
        <w:t xml:space="preserve"> on our Existing Expertise and Interdisciplinary Emphasis</w:t>
      </w:r>
    </w:p>
    <w:p w:rsidR="00F74031" w:rsidRDefault="00210BD9">
      <w:pPr>
        <w:numPr>
          <w:ilvl w:val="0"/>
          <w:numId w:val="28"/>
        </w:numPr>
        <w:rPr>
          <w:rFonts w:ascii="Open Sans" w:eastAsia="Open Sans" w:hAnsi="Open Sans" w:cs="Open Sans"/>
          <w:sz w:val="22"/>
          <w:szCs w:val="22"/>
        </w:rPr>
      </w:pPr>
      <w:r>
        <w:rPr>
          <w:rFonts w:ascii="Open Sans" w:eastAsia="Open Sans" w:hAnsi="Open Sans" w:cs="Open Sans"/>
          <w:sz w:val="22"/>
          <w:szCs w:val="22"/>
        </w:rPr>
        <w:t>Community/Student/Market Demand and Impact</w:t>
      </w:r>
    </w:p>
    <w:p w:rsidR="00F74031" w:rsidRDefault="00210BD9">
      <w:pPr>
        <w:numPr>
          <w:ilvl w:val="0"/>
          <w:numId w:val="28"/>
        </w:numPr>
        <w:rPr>
          <w:rFonts w:ascii="Open Sans" w:eastAsia="Open Sans" w:hAnsi="Open Sans" w:cs="Open Sans"/>
          <w:sz w:val="22"/>
          <w:szCs w:val="22"/>
        </w:rPr>
      </w:pPr>
      <w:r>
        <w:rPr>
          <w:rFonts w:ascii="Open Sans" w:eastAsia="Open Sans" w:hAnsi="Open Sans" w:cs="Open Sans"/>
          <w:sz w:val="22"/>
          <w:szCs w:val="22"/>
        </w:rPr>
        <w:t xml:space="preserve">Resource Impact </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b/>
          <w:sz w:val="22"/>
          <w:szCs w:val="22"/>
        </w:rPr>
      </w:pPr>
      <w:r>
        <w:rPr>
          <w:rFonts w:ascii="Open Sans" w:eastAsia="Open Sans" w:hAnsi="Open Sans" w:cs="Open Sans"/>
          <w:b/>
          <w:sz w:val="22"/>
          <w:szCs w:val="22"/>
        </w:rPr>
        <w:t>Total of 15 New Degree Program Proposals</w:t>
      </w:r>
      <w:r>
        <w:rPr>
          <w:rFonts w:ascii="Open Sans" w:eastAsia="Open Sans" w:hAnsi="Open Sans" w:cs="Open Sans"/>
          <w:b/>
          <w:sz w:val="22"/>
          <w:szCs w:val="22"/>
        </w:rPr>
        <w:t xml:space="preserve"> Received:</w:t>
      </w:r>
    </w:p>
    <w:p w:rsidR="00F74031" w:rsidRDefault="00210BD9">
      <w:pPr>
        <w:rPr>
          <w:rFonts w:ascii="Open Sans" w:eastAsia="Open Sans" w:hAnsi="Open Sans" w:cs="Open Sans"/>
          <w:sz w:val="22"/>
          <w:szCs w:val="22"/>
        </w:rPr>
      </w:pPr>
      <w:r>
        <w:rPr>
          <w:rFonts w:ascii="Open Sans" w:eastAsia="Open Sans" w:hAnsi="Open Sans" w:cs="Open Sans"/>
          <w:sz w:val="22"/>
          <w:szCs w:val="22"/>
          <w:u w:val="single"/>
        </w:rPr>
        <w:t>Proposed New Graduate Programs</w:t>
      </w:r>
    </w:p>
    <w:p w:rsidR="00F74031" w:rsidRDefault="00210BD9">
      <w:pPr>
        <w:rPr>
          <w:rFonts w:ascii="Open Sans" w:eastAsia="Open Sans" w:hAnsi="Open Sans" w:cs="Open Sans"/>
          <w:sz w:val="22"/>
          <w:szCs w:val="22"/>
        </w:rPr>
      </w:pPr>
      <w:r>
        <w:rPr>
          <w:rFonts w:ascii="Open Sans" w:eastAsia="Open Sans" w:hAnsi="Open Sans" w:cs="Open Sans"/>
          <w:sz w:val="22"/>
          <w:szCs w:val="22"/>
        </w:rPr>
        <w:t>*PhD in Computing</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DNP Doctor of Nursing Practice </w:t>
      </w:r>
    </w:p>
    <w:p w:rsidR="00F74031" w:rsidRDefault="00210BD9">
      <w:pPr>
        <w:rPr>
          <w:rFonts w:ascii="Open Sans" w:eastAsia="Open Sans" w:hAnsi="Open Sans" w:cs="Open Sans"/>
          <w:sz w:val="22"/>
          <w:szCs w:val="22"/>
        </w:rPr>
      </w:pPr>
      <w:r>
        <w:rPr>
          <w:rFonts w:ascii="Open Sans" w:eastAsia="Open Sans" w:hAnsi="Open Sans" w:cs="Open Sans"/>
          <w:sz w:val="22"/>
          <w:szCs w:val="22"/>
        </w:rPr>
        <w:t>*</w:t>
      </w:r>
      <w:proofErr w:type="spellStart"/>
      <w:r>
        <w:rPr>
          <w:rFonts w:ascii="Open Sans" w:eastAsia="Open Sans" w:hAnsi="Open Sans" w:cs="Open Sans"/>
          <w:sz w:val="22"/>
          <w:szCs w:val="22"/>
        </w:rPr>
        <w:t>EdS</w:t>
      </w:r>
      <w:proofErr w:type="spellEnd"/>
      <w:r>
        <w:rPr>
          <w:rFonts w:ascii="Open Sans" w:eastAsia="Open Sans" w:hAnsi="Open Sans" w:cs="Open Sans"/>
          <w:sz w:val="22"/>
          <w:szCs w:val="22"/>
        </w:rPr>
        <w:t xml:space="preserve"> in School Psychology </w:t>
      </w:r>
    </w:p>
    <w:p w:rsidR="00F74031" w:rsidRDefault="00210BD9">
      <w:pPr>
        <w:rPr>
          <w:rFonts w:ascii="Open Sans" w:eastAsia="Open Sans" w:hAnsi="Open Sans" w:cs="Open Sans"/>
          <w:sz w:val="22"/>
          <w:szCs w:val="22"/>
        </w:rPr>
      </w:pPr>
      <w:r>
        <w:rPr>
          <w:rFonts w:ascii="Open Sans" w:eastAsia="Open Sans" w:hAnsi="Open Sans" w:cs="Open Sans"/>
          <w:sz w:val="22"/>
          <w:szCs w:val="22"/>
        </w:rPr>
        <w:t>*MS in Environmental Science</w:t>
      </w:r>
    </w:p>
    <w:p w:rsidR="00F74031" w:rsidRDefault="00210BD9">
      <w:pPr>
        <w:rPr>
          <w:rFonts w:ascii="Open Sans" w:eastAsia="Open Sans" w:hAnsi="Open Sans" w:cs="Open Sans"/>
          <w:sz w:val="22"/>
          <w:szCs w:val="22"/>
        </w:rPr>
      </w:pPr>
      <w:r>
        <w:rPr>
          <w:rFonts w:ascii="Open Sans" w:eastAsia="Open Sans" w:hAnsi="Open Sans" w:cs="Open Sans"/>
          <w:sz w:val="22"/>
          <w:szCs w:val="22"/>
        </w:rPr>
        <w:t>*+MS in Information Technology</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*MS in Elec. &amp; Computer Engineering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MA in Public Affairs </w:t>
      </w:r>
    </w:p>
    <w:p w:rsidR="00F74031" w:rsidRDefault="00210BD9">
      <w:pPr>
        <w:rPr>
          <w:rFonts w:ascii="Open Sans" w:eastAsia="Open Sans" w:hAnsi="Open Sans" w:cs="Open Sans"/>
          <w:sz w:val="22"/>
          <w:szCs w:val="22"/>
        </w:rPr>
      </w:pPr>
      <w:r>
        <w:rPr>
          <w:rFonts w:ascii="Open Sans" w:eastAsia="Open Sans" w:hAnsi="Open Sans" w:cs="Open Sans"/>
          <w:sz w:val="22"/>
          <w:szCs w:val="22"/>
        </w:rPr>
        <w:t>MA in Criminal Jus</w:t>
      </w:r>
      <w:r>
        <w:rPr>
          <w:rFonts w:ascii="Open Sans" w:eastAsia="Open Sans" w:hAnsi="Open Sans" w:cs="Open Sans"/>
          <w:sz w:val="22"/>
          <w:szCs w:val="22"/>
        </w:rPr>
        <w:t xml:space="preserve">tice </w:t>
      </w:r>
    </w:p>
    <w:p w:rsidR="00F74031" w:rsidRDefault="00210BD9">
      <w:pPr>
        <w:rPr>
          <w:rFonts w:ascii="Open Sans" w:eastAsia="Open Sans" w:hAnsi="Open Sans" w:cs="Open Sans"/>
          <w:sz w:val="22"/>
          <w:szCs w:val="22"/>
        </w:rPr>
      </w:pPr>
      <w:r>
        <w:rPr>
          <w:rFonts w:ascii="Open Sans" w:eastAsia="Open Sans" w:hAnsi="Open Sans" w:cs="Open Sans"/>
          <w:sz w:val="22"/>
          <w:szCs w:val="22"/>
        </w:rPr>
        <w:t>M in Healthcare Leadership</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u w:val="single"/>
        </w:rPr>
        <w:t>Proposed New Undergraduate Programs</w:t>
      </w:r>
    </w:p>
    <w:p w:rsidR="00F74031" w:rsidRDefault="00210BD9">
      <w:pPr>
        <w:rPr>
          <w:rFonts w:ascii="Open Sans" w:eastAsia="Open Sans" w:hAnsi="Open Sans" w:cs="Open Sans"/>
          <w:sz w:val="22"/>
          <w:szCs w:val="22"/>
        </w:rPr>
      </w:pPr>
      <w:r>
        <w:rPr>
          <w:rFonts w:ascii="Open Sans" w:eastAsia="Open Sans" w:hAnsi="Open Sans" w:cs="Open Sans"/>
          <w:sz w:val="22"/>
          <w:szCs w:val="22"/>
        </w:rPr>
        <w:t>#BS in Mechanical Engineering</w:t>
      </w:r>
    </w:p>
    <w:p w:rsidR="00F74031" w:rsidRDefault="00210BD9">
      <w:pPr>
        <w:rPr>
          <w:rFonts w:ascii="Open Sans" w:eastAsia="Open Sans" w:hAnsi="Open Sans" w:cs="Open Sans"/>
          <w:sz w:val="22"/>
          <w:szCs w:val="22"/>
        </w:rPr>
      </w:pPr>
      <w:r>
        <w:rPr>
          <w:rFonts w:ascii="Open Sans" w:eastAsia="Open Sans" w:hAnsi="Open Sans" w:cs="Open Sans"/>
          <w:sz w:val="22"/>
          <w:szCs w:val="22"/>
        </w:rPr>
        <w:t>#BS in Civil Engineering</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*BA Economic and Policy Analysis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*BA in Art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BA in Education Studies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BA Philosophy, Religion and Ethics </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 = existing PNOI </w:t>
      </w:r>
    </w:p>
    <w:p w:rsidR="00F74031" w:rsidRDefault="00210BD9">
      <w:pPr>
        <w:rPr>
          <w:rFonts w:ascii="Open Sans" w:eastAsia="Open Sans" w:hAnsi="Open Sans" w:cs="Open Sans"/>
          <w:sz w:val="22"/>
          <w:szCs w:val="22"/>
        </w:rPr>
      </w:pPr>
      <w:r>
        <w:rPr>
          <w:rFonts w:ascii="Open Sans" w:eastAsia="Open Sans" w:hAnsi="Open Sans" w:cs="Open Sans"/>
          <w:sz w:val="22"/>
          <w:szCs w:val="22"/>
        </w:rPr>
        <w:t># = dependent on state funding</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 = </w:t>
      </w:r>
      <w:proofErr w:type="spellStart"/>
      <w:r>
        <w:rPr>
          <w:rFonts w:ascii="Open Sans" w:eastAsia="Open Sans" w:hAnsi="Open Sans" w:cs="Open Sans"/>
          <w:sz w:val="22"/>
          <w:szCs w:val="22"/>
        </w:rPr>
        <w:t>self supporting</w:t>
      </w:r>
      <w:proofErr w:type="spellEnd"/>
      <w:r>
        <w:rPr>
          <w:rFonts w:ascii="Open Sans" w:eastAsia="Open Sans" w:hAnsi="Open Sans" w:cs="Open Sans"/>
          <w:sz w:val="22"/>
          <w:szCs w:val="22"/>
        </w:rPr>
        <w:t xml:space="preserve"> </w:t>
      </w:r>
    </w:p>
    <w:p w:rsidR="00F74031" w:rsidRDefault="00F74031">
      <w:pPr>
        <w:rPr>
          <w:rFonts w:ascii="Open Sans" w:eastAsia="Open Sans" w:hAnsi="Open Sans" w:cs="Open Sans"/>
          <w:sz w:val="22"/>
          <w:szCs w:val="22"/>
        </w:rPr>
      </w:pP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lastRenderedPageBreak/>
        <w:br w:type="page"/>
      </w:r>
    </w:p>
    <w:p w:rsidR="00F74031" w:rsidRDefault="00210BD9">
      <w:pPr>
        <w:rPr>
          <w:rFonts w:ascii="Open Sans" w:eastAsia="Open Sans" w:hAnsi="Open Sans" w:cs="Open Sans"/>
          <w:sz w:val="22"/>
          <w:szCs w:val="22"/>
        </w:rPr>
      </w:pPr>
      <w:r>
        <w:rPr>
          <w:rFonts w:ascii="Open Sans" w:eastAsia="Open Sans" w:hAnsi="Open Sans" w:cs="Open Sans"/>
          <w:sz w:val="22"/>
          <w:szCs w:val="22"/>
        </w:rPr>
        <w:lastRenderedPageBreak/>
        <w:t>The Steering Committee recommended that 12 move forward</w:t>
      </w:r>
      <w:r>
        <w:rPr>
          <w:rFonts w:ascii="Open Sans" w:eastAsia="Open Sans" w:hAnsi="Open Sans" w:cs="Open Sans"/>
          <w:b/>
          <w:sz w:val="22"/>
          <w:szCs w:val="22"/>
        </w:rPr>
        <w:t xml:space="preserve"> </w:t>
      </w:r>
      <w:r>
        <w:rPr>
          <w:rFonts w:ascii="Open Sans" w:eastAsia="Open Sans" w:hAnsi="Open Sans" w:cs="Open Sans"/>
          <w:sz w:val="22"/>
          <w:szCs w:val="22"/>
        </w:rPr>
        <w:t>in this planning round, in two stages:</w:t>
      </w:r>
    </w:p>
    <w:p w:rsidR="00F74031" w:rsidRDefault="00210BD9">
      <w:pPr>
        <w:rPr>
          <w:rFonts w:ascii="Open Sans" w:eastAsia="Open Sans" w:hAnsi="Open Sans" w:cs="Open Sans"/>
          <w:sz w:val="22"/>
          <w:szCs w:val="22"/>
          <w:u w:val="single"/>
        </w:rPr>
      </w:pPr>
      <w:r>
        <w:rPr>
          <w:rFonts w:ascii="Open Sans" w:eastAsia="Open Sans" w:hAnsi="Open Sans" w:cs="Open Sans"/>
          <w:sz w:val="22"/>
          <w:szCs w:val="22"/>
          <w:u w:val="single"/>
        </w:rPr>
        <w:t>Stage One:</w:t>
      </w:r>
    </w:p>
    <w:p w:rsidR="00F74031" w:rsidRDefault="00210BD9">
      <w:pPr>
        <w:rPr>
          <w:rFonts w:ascii="Open Sans" w:eastAsia="Open Sans" w:hAnsi="Open Sans" w:cs="Open Sans"/>
          <w:sz w:val="22"/>
          <w:szCs w:val="22"/>
        </w:rPr>
      </w:pPr>
      <w:r>
        <w:rPr>
          <w:rFonts w:ascii="Open Sans" w:eastAsia="Open Sans" w:hAnsi="Open Sans" w:cs="Open Sans"/>
          <w:sz w:val="22"/>
          <w:szCs w:val="22"/>
        </w:rPr>
        <w:t>*</w:t>
      </w:r>
      <w:proofErr w:type="spellStart"/>
      <w:r>
        <w:rPr>
          <w:rFonts w:ascii="Open Sans" w:eastAsia="Open Sans" w:hAnsi="Open Sans" w:cs="Open Sans"/>
          <w:sz w:val="22"/>
          <w:szCs w:val="22"/>
        </w:rPr>
        <w:t>EdS</w:t>
      </w:r>
      <w:proofErr w:type="spellEnd"/>
      <w:r>
        <w:rPr>
          <w:rFonts w:ascii="Open Sans" w:eastAsia="Open Sans" w:hAnsi="Open Sans" w:cs="Open Sans"/>
          <w:sz w:val="22"/>
          <w:szCs w:val="22"/>
        </w:rPr>
        <w:t xml:space="preserve"> in School Psychology </w:t>
      </w:r>
    </w:p>
    <w:p w:rsidR="00F74031" w:rsidRDefault="00210BD9">
      <w:pPr>
        <w:rPr>
          <w:rFonts w:ascii="Open Sans" w:eastAsia="Open Sans" w:hAnsi="Open Sans" w:cs="Open Sans"/>
          <w:sz w:val="22"/>
          <w:szCs w:val="22"/>
        </w:rPr>
      </w:pPr>
      <w:r>
        <w:rPr>
          <w:rFonts w:ascii="Open Sans" w:eastAsia="Open Sans" w:hAnsi="Open Sans" w:cs="Open Sans"/>
          <w:sz w:val="22"/>
          <w:szCs w:val="22"/>
        </w:rPr>
        <w:t>*MS in Environmental Science</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*BA Economic and Policy Analysis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#BS in Mechanical Engineering </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u w:val="single"/>
        </w:rPr>
      </w:pPr>
      <w:r>
        <w:rPr>
          <w:rFonts w:ascii="Open Sans" w:eastAsia="Open Sans" w:hAnsi="Open Sans" w:cs="Open Sans"/>
          <w:sz w:val="22"/>
          <w:szCs w:val="22"/>
          <w:u w:val="single"/>
        </w:rPr>
        <w:t>Stage Two:</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DNP Doctor of Nursing Practice </w:t>
      </w:r>
    </w:p>
    <w:p w:rsidR="00F74031" w:rsidRDefault="00210BD9">
      <w:pPr>
        <w:rPr>
          <w:rFonts w:ascii="Open Sans" w:eastAsia="Open Sans" w:hAnsi="Open Sans" w:cs="Open Sans"/>
          <w:sz w:val="22"/>
          <w:szCs w:val="22"/>
        </w:rPr>
      </w:pPr>
      <w:r>
        <w:rPr>
          <w:rFonts w:ascii="Open Sans" w:eastAsia="Open Sans" w:hAnsi="Open Sans" w:cs="Open Sans"/>
          <w:sz w:val="22"/>
          <w:szCs w:val="22"/>
        </w:rPr>
        <w:t>*PhD in Computing</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*MS in Electrical and Computer Engineering </w:t>
      </w:r>
    </w:p>
    <w:p w:rsidR="00F74031" w:rsidRDefault="00210BD9">
      <w:pPr>
        <w:rPr>
          <w:rFonts w:ascii="Open Sans" w:eastAsia="Open Sans" w:hAnsi="Open Sans" w:cs="Open Sans"/>
          <w:sz w:val="22"/>
          <w:szCs w:val="22"/>
        </w:rPr>
      </w:pPr>
      <w:r>
        <w:rPr>
          <w:rFonts w:ascii="Open Sans" w:eastAsia="Open Sans" w:hAnsi="Open Sans" w:cs="Open Sans"/>
          <w:sz w:val="22"/>
          <w:szCs w:val="22"/>
        </w:rPr>
        <w:t>*+MS in Information Technology</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*BA in Art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BA in Education Studies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BA Philosophy, Religion and Ethics </w:t>
      </w:r>
    </w:p>
    <w:p w:rsidR="00F74031" w:rsidRDefault="00210BD9">
      <w:pPr>
        <w:rPr>
          <w:rFonts w:ascii="Open Sans" w:eastAsia="Open Sans" w:hAnsi="Open Sans" w:cs="Open Sans"/>
          <w:sz w:val="22"/>
          <w:szCs w:val="22"/>
        </w:rPr>
      </w:pPr>
      <w:r>
        <w:rPr>
          <w:rFonts w:ascii="Open Sans" w:eastAsia="Open Sans" w:hAnsi="Open Sans" w:cs="Open Sans"/>
          <w:sz w:val="22"/>
          <w:szCs w:val="22"/>
        </w:rPr>
        <w:t>#BS in Civil En</w:t>
      </w:r>
      <w:r>
        <w:rPr>
          <w:rFonts w:ascii="Open Sans" w:eastAsia="Open Sans" w:hAnsi="Open Sans" w:cs="Open Sans"/>
          <w:sz w:val="22"/>
          <w:szCs w:val="22"/>
        </w:rPr>
        <w:t>gineering</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 = existing PNOI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 = </w:t>
      </w:r>
      <w:proofErr w:type="spellStart"/>
      <w:r>
        <w:rPr>
          <w:rFonts w:ascii="Open Sans" w:eastAsia="Open Sans" w:hAnsi="Open Sans" w:cs="Open Sans"/>
          <w:sz w:val="22"/>
          <w:szCs w:val="22"/>
        </w:rPr>
        <w:t>self supporting</w:t>
      </w:r>
      <w:proofErr w:type="spellEnd"/>
      <w:r>
        <w:rPr>
          <w:rFonts w:ascii="Open Sans" w:eastAsia="Open Sans" w:hAnsi="Open Sans" w:cs="Open Sans"/>
          <w:sz w:val="22"/>
          <w:szCs w:val="22"/>
        </w:rPr>
        <w:t xml:space="preserve"> </w:t>
      </w:r>
    </w:p>
    <w:p w:rsidR="00F74031" w:rsidRDefault="00210BD9">
      <w:pPr>
        <w:rPr>
          <w:rFonts w:ascii="Open Sans" w:eastAsia="Open Sans" w:hAnsi="Open Sans" w:cs="Open Sans"/>
          <w:sz w:val="22"/>
          <w:szCs w:val="22"/>
        </w:rPr>
      </w:pPr>
      <w:r>
        <w:rPr>
          <w:rFonts w:ascii="Open Sans" w:eastAsia="Open Sans" w:hAnsi="Open Sans" w:cs="Open Sans"/>
          <w:sz w:val="22"/>
          <w:szCs w:val="22"/>
        </w:rPr>
        <w:t># = dependent on state funding</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Three programs deferred to Next Academic Plan:</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MA in Public Affairs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MA in Criminal Justice </w:t>
      </w:r>
    </w:p>
    <w:p w:rsidR="00F74031" w:rsidRDefault="00210BD9">
      <w:pPr>
        <w:rPr>
          <w:rFonts w:ascii="Open Sans" w:eastAsia="Open Sans" w:hAnsi="Open Sans" w:cs="Open Sans"/>
          <w:sz w:val="22"/>
          <w:szCs w:val="22"/>
        </w:rPr>
      </w:pPr>
      <w:r>
        <w:rPr>
          <w:rFonts w:ascii="Open Sans" w:eastAsia="Open Sans" w:hAnsi="Open Sans" w:cs="Open Sans"/>
          <w:sz w:val="22"/>
          <w:szCs w:val="22"/>
        </w:rPr>
        <w:t>M in Healthcare Leadership</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rPr>
      </w:pPr>
      <w:r>
        <w:rPr>
          <w:rFonts w:ascii="Open Sans" w:eastAsia="Open Sans" w:hAnsi="Open Sans" w:cs="Open Sans"/>
          <w:sz w:val="22"/>
          <w:szCs w:val="22"/>
        </w:rPr>
        <w:t>Special Cases:</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The International Studies new program proposal should be </w:t>
      </w:r>
    </w:p>
    <w:p w:rsidR="00F74031" w:rsidRDefault="00210BD9">
      <w:pPr>
        <w:rPr>
          <w:rFonts w:ascii="Open Sans" w:eastAsia="Open Sans" w:hAnsi="Open Sans" w:cs="Open Sans"/>
          <w:sz w:val="22"/>
          <w:szCs w:val="22"/>
        </w:rPr>
      </w:pPr>
      <w:proofErr w:type="gramStart"/>
      <w:r>
        <w:rPr>
          <w:rFonts w:ascii="Open Sans" w:eastAsia="Open Sans" w:hAnsi="Open Sans" w:cs="Open Sans"/>
          <w:sz w:val="22"/>
          <w:szCs w:val="22"/>
        </w:rPr>
        <w:t>considered</w:t>
      </w:r>
      <w:proofErr w:type="gramEnd"/>
      <w:r>
        <w:rPr>
          <w:rFonts w:ascii="Open Sans" w:eastAsia="Open Sans" w:hAnsi="Open Sans" w:cs="Open Sans"/>
          <w:sz w:val="22"/>
          <w:szCs w:val="22"/>
        </w:rPr>
        <w:t xml:space="preserve"> as a program change to the existing Global Studies degree. </w:t>
      </w:r>
    </w:p>
    <w:p w:rsidR="00F74031" w:rsidRDefault="00210BD9">
      <w:pPr>
        <w:rPr>
          <w:rFonts w:ascii="Open Sans" w:eastAsia="Open Sans" w:hAnsi="Open Sans" w:cs="Open Sans"/>
          <w:sz w:val="22"/>
          <w:szCs w:val="22"/>
        </w:rPr>
      </w:pPr>
      <w:r>
        <w:rPr>
          <w:rFonts w:ascii="Open Sans" w:eastAsia="Open Sans" w:hAnsi="Open Sans" w:cs="Open Sans"/>
          <w:sz w:val="22"/>
          <w:szCs w:val="22"/>
        </w:rPr>
        <w:t xml:space="preserve">Undergraduate Minor in Business Analytics should proceed through </w:t>
      </w:r>
    </w:p>
    <w:p w:rsidR="00F74031" w:rsidRDefault="00210BD9">
      <w:pPr>
        <w:rPr>
          <w:rFonts w:ascii="Open Sans" w:eastAsia="Open Sans" w:hAnsi="Open Sans" w:cs="Open Sans"/>
          <w:sz w:val="22"/>
          <w:szCs w:val="22"/>
        </w:rPr>
      </w:pPr>
      <w:proofErr w:type="gramStart"/>
      <w:r>
        <w:rPr>
          <w:rFonts w:ascii="Open Sans" w:eastAsia="Open Sans" w:hAnsi="Open Sans" w:cs="Open Sans"/>
          <w:sz w:val="22"/>
          <w:szCs w:val="22"/>
        </w:rPr>
        <w:t>regular</w:t>
      </w:r>
      <w:proofErr w:type="gramEnd"/>
      <w:r>
        <w:rPr>
          <w:rFonts w:ascii="Open Sans" w:eastAsia="Open Sans" w:hAnsi="Open Sans" w:cs="Open Sans"/>
          <w:sz w:val="22"/>
          <w:szCs w:val="22"/>
        </w:rPr>
        <w:t xml:space="preserve"> curriculum channels.</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b/>
          <w:sz w:val="22"/>
          <w:szCs w:val="22"/>
        </w:rPr>
      </w:pPr>
      <w:r>
        <w:rPr>
          <w:rFonts w:ascii="Open Sans" w:eastAsia="Open Sans" w:hAnsi="Open Sans" w:cs="Open Sans"/>
          <w:b/>
          <w:sz w:val="22"/>
          <w:szCs w:val="22"/>
        </w:rPr>
        <w:t>Existing Program Changes</w:t>
      </w:r>
    </w:p>
    <w:p w:rsidR="00F74031" w:rsidRDefault="00210BD9">
      <w:pPr>
        <w:rPr>
          <w:rFonts w:ascii="Open Sans" w:eastAsia="Open Sans" w:hAnsi="Open Sans" w:cs="Open Sans"/>
          <w:sz w:val="22"/>
          <w:szCs w:val="22"/>
        </w:rPr>
      </w:pPr>
      <w:r>
        <w:rPr>
          <w:rFonts w:ascii="Open Sans" w:eastAsia="Open Sans" w:hAnsi="Open Sans" w:cs="Open Sans"/>
          <w:sz w:val="22"/>
          <w:szCs w:val="22"/>
        </w:rPr>
        <w:t>We rec</w:t>
      </w:r>
      <w:r>
        <w:rPr>
          <w:rFonts w:ascii="Open Sans" w:eastAsia="Open Sans" w:hAnsi="Open Sans" w:cs="Open Sans"/>
          <w:sz w:val="22"/>
          <w:szCs w:val="22"/>
        </w:rPr>
        <w:t xml:space="preserve">eived 26 program modifications. We ask that programs supporting curricular changes proceed with submitting their proposals. </w:t>
      </w:r>
    </w:p>
    <w:p w:rsidR="00F74031" w:rsidRDefault="00210BD9">
      <w:pPr>
        <w:numPr>
          <w:ilvl w:val="0"/>
          <w:numId w:val="31"/>
        </w:numPr>
        <w:rPr>
          <w:rFonts w:ascii="Open Sans" w:eastAsia="Open Sans" w:hAnsi="Open Sans" w:cs="Open Sans"/>
          <w:sz w:val="22"/>
          <w:szCs w:val="22"/>
        </w:rPr>
      </w:pPr>
      <w:r>
        <w:rPr>
          <w:rFonts w:ascii="Open Sans" w:eastAsia="Open Sans" w:hAnsi="Open Sans" w:cs="Open Sans"/>
          <w:sz w:val="22"/>
          <w:szCs w:val="22"/>
        </w:rPr>
        <w:t>Resources associated with these changes will be discussed by the EVCAA and the respective Dean or Director.</w:t>
      </w:r>
    </w:p>
    <w:p w:rsidR="00F74031" w:rsidRDefault="00210BD9">
      <w:pPr>
        <w:numPr>
          <w:ilvl w:val="0"/>
          <w:numId w:val="31"/>
        </w:numPr>
        <w:rPr>
          <w:rFonts w:ascii="Open Sans" w:eastAsia="Open Sans" w:hAnsi="Open Sans" w:cs="Open Sans"/>
          <w:sz w:val="22"/>
          <w:szCs w:val="22"/>
        </w:rPr>
      </w:pPr>
      <w:r>
        <w:rPr>
          <w:rFonts w:ascii="Open Sans" w:eastAsia="Open Sans" w:hAnsi="Open Sans" w:cs="Open Sans"/>
          <w:sz w:val="22"/>
          <w:szCs w:val="22"/>
        </w:rPr>
        <w:t>Requests for new facult</w:t>
      </w:r>
      <w:r>
        <w:rPr>
          <w:rFonts w:ascii="Open Sans" w:eastAsia="Open Sans" w:hAnsi="Open Sans" w:cs="Open Sans"/>
          <w:sz w:val="22"/>
          <w:szCs w:val="22"/>
        </w:rPr>
        <w:t>y or staff positions require approval from Executive Budget Committee.</w:t>
      </w:r>
    </w:p>
    <w:p w:rsidR="00F74031" w:rsidRDefault="00210BD9">
      <w:pPr>
        <w:numPr>
          <w:ilvl w:val="0"/>
          <w:numId w:val="22"/>
        </w:numPr>
        <w:rPr>
          <w:rFonts w:ascii="Open Sans" w:eastAsia="Open Sans" w:hAnsi="Open Sans" w:cs="Open Sans"/>
          <w:sz w:val="22"/>
          <w:szCs w:val="22"/>
        </w:rPr>
      </w:pPr>
      <w:r>
        <w:rPr>
          <w:rFonts w:ascii="Open Sans" w:eastAsia="Open Sans" w:hAnsi="Open Sans" w:cs="Open Sans"/>
          <w:sz w:val="22"/>
          <w:szCs w:val="22"/>
        </w:rPr>
        <w:t xml:space="preserve">Facilities requests will be shared with the VC for Finance and Administration. </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u w:val="single"/>
        </w:rPr>
      </w:pPr>
      <w:r>
        <w:br w:type="page"/>
      </w:r>
    </w:p>
    <w:p w:rsidR="00F74031" w:rsidRDefault="00210BD9">
      <w:pPr>
        <w:rPr>
          <w:rFonts w:ascii="Open Sans" w:eastAsia="Open Sans" w:hAnsi="Open Sans" w:cs="Open Sans"/>
          <w:sz w:val="22"/>
          <w:szCs w:val="22"/>
          <w:u w:val="single"/>
        </w:rPr>
      </w:pPr>
      <w:r>
        <w:rPr>
          <w:rFonts w:ascii="Open Sans" w:eastAsia="Open Sans" w:hAnsi="Open Sans" w:cs="Open Sans"/>
          <w:sz w:val="22"/>
          <w:szCs w:val="22"/>
          <w:u w:val="single"/>
        </w:rPr>
        <w:lastRenderedPageBreak/>
        <w:t>Resource Requests for Existing Programs:</w:t>
      </w:r>
    </w:p>
    <w:p w:rsidR="00F74031" w:rsidRDefault="00210BD9">
      <w:pPr>
        <w:rPr>
          <w:rFonts w:ascii="Open Sans" w:eastAsia="Open Sans" w:hAnsi="Open Sans" w:cs="Open Sans"/>
          <w:sz w:val="22"/>
          <w:szCs w:val="22"/>
        </w:rPr>
      </w:pPr>
      <w:r>
        <w:rPr>
          <w:rFonts w:ascii="Open Sans" w:eastAsia="Open Sans" w:hAnsi="Open Sans" w:cs="Open Sans"/>
          <w:sz w:val="22"/>
          <w:szCs w:val="22"/>
        </w:rPr>
        <w:t>Global Honors in BA Healthcare Leadership </w:t>
      </w:r>
    </w:p>
    <w:p w:rsidR="00F74031" w:rsidRDefault="00210BD9">
      <w:pPr>
        <w:rPr>
          <w:rFonts w:ascii="Open Sans" w:eastAsia="Open Sans" w:hAnsi="Open Sans" w:cs="Open Sans"/>
          <w:sz w:val="22"/>
          <w:szCs w:val="22"/>
        </w:rPr>
      </w:pPr>
      <w:r>
        <w:rPr>
          <w:rFonts w:ascii="Open Sans" w:eastAsia="Open Sans" w:hAnsi="Open Sans" w:cs="Open Sans"/>
          <w:sz w:val="22"/>
          <w:szCs w:val="22"/>
        </w:rPr>
        <w:t>Global Honors in BA Business Administration </w:t>
      </w:r>
    </w:p>
    <w:p w:rsidR="00F74031" w:rsidRDefault="00210BD9">
      <w:pPr>
        <w:rPr>
          <w:rFonts w:ascii="Open Sans" w:eastAsia="Open Sans" w:hAnsi="Open Sans" w:cs="Open Sans"/>
          <w:sz w:val="22"/>
          <w:szCs w:val="22"/>
        </w:rPr>
      </w:pPr>
      <w:r>
        <w:rPr>
          <w:rFonts w:ascii="Open Sans" w:eastAsia="Open Sans" w:hAnsi="Open Sans" w:cs="Open Sans"/>
          <w:sz w:val="22"/>
          <w:szCs w:val="22"/>
        </w:rPr>
        <w:t>Honors, Global Honors and Faculty in lower division courses in BS Computer Science &amp; Systems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in BS of Information Technology </w:t>
      </w:r>
    </w:p>
    <w:p w:rsidR="00F74031" w:rsidRDefault="00210BD9">
      <w:pPr>
        <w:rPr>
          <w:rFonts w:ascii="Open Sans" w:eastAsia="Open Sans" w:hAnsi="Open Sans" w:cs="Open Sans"/>
          <w:sz w:val="22"/>
          <w:szCs w:val="22"/>
        </w:rPr>
      </w:pPr>
      <w:r>
        <w:rPr>
          <w:rFonts w:ascii="Open Sans" w:eastAsia="Open Sans" w:hAnsi="Open Sans" w:cs="Open Sans"/>
          <w:sz w:val="22"/>
          <w:szCs w:val="22"/>
        </w:rPr>
        <w:t>Global Honors in BA Urban Studies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for Two Year Track in Masters of</w:t>
      </w:r>
      <w:r>
        <w:rPr>
          <w:rFonts w:ascii="Open Sans" w:eastAsia="Open Sans" w:hAnsi="Open Sans" w:cs="Open Sans"/>
          <w:sz w:val="22"/>
          <w:szCs w:val="22"/>
        </w:rPr>
        <w:t xml:space="preserve"> Accounting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for MS Business Analytics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for Masters in Business Administration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for Master of Cybersecurity and Leadership (Business)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for Master of Cybersecurity and Leadership (Institute) </w:t>
      </w:r>
    </w:p>
    <w:p w:rsidR="00F74031" w:rsidRDefault="00210BD9">
      <w:pPr>
        <w:rPr>
          <w:rFonts w:ascii="Open Sans" w:eastAsia="Open Sans" w:hAnsi="Open Sans" w:cs="Open Sans"/>
          <w:sz w:val="22"/>
          <w:szCs w:val="22"/>
        </w:rPr>
      </w:pPr>
      <w:r>
        <w:rPr>
          <w:rFonts w:ascii="Open Sans" w:eastAsia="Open Sans" w:hAnsi="Open Sans" w:cs="Open Sans"/>
          <w:sz w:val="22"/>
          <w:szCs w:val="22"/>
        </w:rPr>
        <w:t>Program improvements to Master in Education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and Staff for Advanced Standing MSW  </w:t>
      </w:r>
    </w:p>
    <w:p w:rsidR="00F74031" w:rsidRDefault="00210BD9">
      <w:pPr>
        <w:rPr>
          <w:rFonts w:ascii="Open Sans" w:eastAsia="Open Sans" w:hAnsi="Open Sans" w:cs="Open Sans"/>
          <w:sz w:val="22"/>
          <w:szCs w:val="22"/>
        </w:rPr>
      </w:pPr>
      <w:r>
        <w:rPr>
          <w:rFonts w:ascii="Open Sans" w:eastAsia="Open Sans" w:hAnsi="Open Sans" w:cs="Open Sans"/>
          <w:sz w:val="22"/>
          <w:szCs w:val="22"/>
        </w:rPr>
        <w:t>Staff for online Criminal Justice BA and new Tracks </w:t>
      </w:r>
    </w:p>
    <w:p w:rsidR="00F74031" w:rsidRDefault="00210BD9">
      <w:pPr>
        <w:rPr>
          <w:rFonts w:ascii="Open Sans" w:eastAsia="Open Sans" w:hAnsi="Open Sans" w:cs="Open Sans"/>
          <w:sz w:val="22"/>
          <w:szCs w:val="22"/>
        </w:rPr>
      </w:pPr>
      <w:r>
        <w:rPr>
          <w:rFonts w:ascii="Open Sans" w:eastAsia="Open Sans" w:hAnsi="Open Sans" w:cs="Open Sans"/>
          <w:sz w:val="22"/>
          <w:szCs w:val="22"/>
        </w:rPr>
        <w:t>Integrated pathways in Global Honors pathways </w:t>
      </w:r>
    </w:p>
    <w:p w:rsidR="00F74031" w:rsidRDefault="00210BD9">
      <w:pPr>
        <w:rPr>
          <w:rFonts w:ascii="Open Sans" w:eastAsia="Open Sans" w:hAnsi="Open Sans" w:cs="Open Sans"/>
          <w:sz w:val="22"/>
          <w:szCs w:val="22"/>
        </w:rPr>
      </w:pPr>
      <w:r>
        <w:rPr>
          <w:rFonts w:ascii="Open Sans" w:eastAsia="Open Sans" w:hAnsi="Open Sans" w:cs="Open Sans"/>
          <w:sz w:val="22"/>
          <w:szCs w:val="22"/>
        </w:rPr>
        <w:t>Additional faculty in MS in Geospatial Technologies </w:t>
      </w:r>
    </w:p>
    <w:p w:rsidR="00F74031" w:rsidRDefault="00210BD9">
      <w:pPr>
        <w:rPr>
          <w:rFonts w:ascii="Open Sans" w:eastAsia="Open Sans" w:hAnsi="Open Sans" w:cs="Open Sans"/>
          <w:sz w:val="22"/>
          <w:szCs w:val="22"/>
        </w:rPr>
      </w:pPr>
      <w:r>
        <w:rPr>
          <w:rFonts w:ascii="Open Sans" w:eastAsia="Open Sans" w:hAnsi="Open Sans" w:cs="Open Sans"/>
          <w:sz w:val="22"/>
          <w:szCs w:val="22"/>
        </w:rPr>
        <w:t>Staff in MS</w:t>
      </w:r>
      <w:r>
        <w:rPr>
          <w:rFonts w:ascii="Open Sans" w:eastAsia="Open Sans" w:hAnsi="Open Sans" w:cs="Open Sans"/>
          <w:sz w:val="22"/>
          <w:szCs w:val="22"/>
        </w:rPr>
        <w:t xml:space="preserve"> in Geospatial Technologies </w:t>
      </w:r>
    </w:p>
    <w:p w:rsidR="00F74031" w:rsidRDefault="00210BD9">
      <w:pPr>
        <w:rPr>
          <w:rFonts w:ascii="Open Sans" w:eastAsia="Open Sans" w:hAnsi="Open Sans" w:cs="Open Sans"/>
          <w:sz w:val="22"/>
          <w:szCs w:val="22"/>
        </w:rPr>
      </w:pPr>
      <w:r>
        <w:rPr>
          <w:rFonts w:ascii="Open Sans" w:eastAsia="Open Sans" w:hAnsi="Open Sans" w:cs="Open Sans"/>
          <w:sz w:val="22"/>
          <w:szCs w:val="22"/>
        </w:rPr>
        <w:t>Staff in MA in Community Planning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in Bachelor of Science in Nursing (BSN)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in Master of Nursing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in BA (major) in Healthcare Leadership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for BA Ethnic, Gender and Labor Studies  </w:t>
      </w:r>
    </w:p>
    <w:p w:rsidR="00F74031" w:rsidRDefault="00210BD9">
      <w:pPr>
        <w:rPr>
          <w:rFonts w:ascii="Open Sans" w:eastAsia="Open Sans" w:hAnsi="Open Sans" w:cs="Open Sans"/>
          <w:sz w:val="22"/>
          <w:szCs w:val="22"/>
        </w:rPr>
      </w:pPr>
      <w:r>
        <w:rPr>
          <w:rFonts w:ascii="Open Sans" w:eastAsia="Open Sans" w:hAnsi="Open Sans" w:cs="Open Sans"/>
          <w:sz w:val="22"/>
          <w:szCs w:val="22"/>
        </w:rPr>
        <w:t>Faculty for In</w:t>
      </w:r>
      <w:r>
        <w:rPr>
          <w:rFonts w:ascii="Open Sans" w:eastAsia="Open Sans" w:hAnsi="Open Sans" w:cs="Open Sans"/>
          <w:sz w:val="22"/>
          <w:szCs w:val="22"/>
        </w:rPr>
        <w:t>terdisciplinary options in BA History </w:t>
      </w:r>
    </w:p>
    <w:p w:rsidR="00F74031" w:rsidRDefault="00F74031">
      <w:pPr>
        <w:rPr>
          <w:rFonts w:ascii="Open Sans" w:eastAsia="Open Sans" w:hAnsi="Open Sans" w:cs="Open Sans"/>
          <w:sz w:val="22"/>
          <w:szCs w:val="22"/>
        </w:rPr>
      </w:pPr>
    </w:p>
    <w:p w:rsidR="00F74031" w:rsidRDefault="00210BD9">
      <w:pPr>
        <w:rPr>
          <w:rFonts w:ascii="Open Sans" w:eastAsia="Open Sans" w:hAnsi="Open Sans" w:cs="Open Sans"/>
          <w:sz w:val="22"/>
          <w:szCs w:val="22"/>
          <w:u w:val="single"/>
        </w:rPr>
      </w:pPr>
      <w:r>
        <w:rPr>
          <w:rFonts w:ascii="Open Sans" w:eastAsia="Open Sans" w:hAnsi="Open Sans" w:cs="Open Sans"/>
          <w:sz w:val="22"/>
          <w:szCs w:val="22"/>
          <w:u w:val="single"/>
        </w:rPr>
        <w:t>Facility Requests for Existing Programs:</w:t>
      </w:r>
    </w:p>
    <w:p w:rsidR="00F74031" w:rsidRDefault="00210BD9">
      <w:pPr>
        <w:rPr>
          <w:rFonts w:ascii="Open Sans" w:eastAsia="Open Sans" w:hAnsi="Open Sans" w:cs="Open Sans"/>
          <w:sz w:val="22"/>
          <w:szCs w:val="22"/>
        </w:rPr>
      </w:pPr>
      <w:r>
        <w:rPr>
          <w:rFonts w:ascii="Open Sans" w:eastAsia="Open Sans" w:hAnsi="Open Sans" w:cs="Open Sans"/>
          <w:sz w:val="22"/>
          <w:szCs w:val="22"/>
        </w:rPr>
        <w:t>Designated computer classroom where SPSS software is installed - BA Psychology </w:t>
      </w:r>
    </w:p>
    <w:p w:rsidR="00F74031" w:rsidRDefault="00210BD9">
      <w:pPr>
        <w:rPr>
          <w:rFonts w:ascii="Open Sans" w:eastAsia="Open Sans" w:hAnsi="Open Sans" w:cs="Open Sans"/>
          <w:sz w:val="22"/>
          <w:szCs w:val="22"/>
        </w:rPr>
      </w:pPr>
      <w:r>
        <w:rPr>
          <w:rFonts w:ascii="Open Sans" w:eastAsia="Open Sans" w:hAnsi="Open Sans" w:cs="Open Sans"/>
          <w:sz w:val="22"/>
          <w:szCs w:val="22"/>
        </w:rPr>
        <w:t>GIS lab - MS in Geospatial Technologies  </w:t>
      </w:r>
    </w:p>
    <w:p w:rsidR="00F74031" w:rsidRDefault="00210BD9">
      <w:pPr>
        <w:rPr>
          <w:rFonts w:ascii="Open Sans" w:eastAsia="Open Sans" w:hAnsi="Open Sans" w:cs="Open Sans"/>
          <w:sz w:val="22"/>
          <w:szCs w:val="22"/>
        </w:rPr>
      </w:pPr>
      <w:r>
        <w:rPr>
          <w:rFonts w:ascii="Open Sans" w:eastAsia="Open Sans" w:hAnsi="Open Sans" w:cs="Open Sans"/>
          <w:sz w:val="22"/>
          <w:szCs w:val="22"/>
        </w:rPr>
        <w:t>Studio space in TPS - BS in Urban Design  </w:t>
      </w:r>
    </w:p>
    <w:p w:rsidR="00F74031" w:rsidRDefault="00210BD9">
      <w:pPr>
        <w:rPr>
          <w:rFonts w:ascii="Open Sans" w:eastAsia="Open Sans" w:hAnsi="Open Sans" w:cs="Open Sans"/>
          <w:sz w:val="22"/>
          <w:szCs w:val="22"/>
        </w:rPr>
      </w:pPr>
      <w:r>
        <w:rPr>
          <w:rFonts w:ascii="Open Sans" w:eastAsia="Open Sans" w:hAnsi="Open Sans" w:cs="Open Sans"/>
          <w:sz w:val="22"/>
          <w:szCs w:val="22"/>
        </w:rPr>
        <w:t>Larger Cla</w:t>
      </w:r>
      <w:r>
        <w:rPr>
          <w:rFonts w:ascii="Open Sans" w:eastAsia="Open Sans" w:hAnsi="Open Sans" w:cs="Open Sans"/>
          <w:sz w:val="22"/>
          <w:szCs w:val="22"/>
        </w:rPr>
        <w:t xml:space="preserve">ssrooms (80 students) - BA in Urban Studies, BA in </w:t>
      </w:r>
      <w:proofErr w:type="spellStart"/>
      <w:r>
        <w:rPr>
          <w:rFonts w:ascii="Open Sans" w:eastAsia="Open Sans" w:hAnsi="Open Sans" w:cs="Open Sans"/>
          <w:sz w:val="22"/>
          <w:szCs w:val="22"/>
        </w:rPr>
        <w:t>Sus</w:t>
      </w:r>
      <w:proofErr w:type="spellEnd"/>
      <w:r>
        <w:rPr>
          <w:rFonts w:ascii="Open Sans" w:eastAsia="Open Sans" w:hAnsi="Open Sans" w:cs="Open Sans"/>
          <w:sz w:val="22"/>
          <w:szCs w:val="22"/>
        </w:rPr>
        <w:t>. Urban Development </w:t>
      </w:r>
    </w:p>
    <w:p w:rsidR="00F74031" w:rsidRDefault="00210BD9">
      <w:pPr>
        <w:rPr>
          <w:rFonts w:ascii="Open Sans" w:eastAsia="Open Sans" w:hAnsi="Open Sans" w:cs="Open Sans"/>
          <w:sz w:val="22"/>
          <w:szCs w:val="22"/>
        </w:rPr>
      </w:pPr>
      <w:r>
        <w:rPr>
          <w:rFonts w:ascii="Open Sans" w:eastAsia="Open Sans" w:hAnsi="Open Sans" w:cs="Open Sans"/>
          <w:sz w:val="22"/>
          <w:szCs w:val="22"/>
        </w:rPr>
        <w:t>Flexible furniture and space refresh - BA in Urban Studies </w:t>
      </w:r>
    </w:p>
    <w:p w:rsidR="00F74031" w:rsidRDefault="00210BD9">
      <w:pPr>
        <w:rPr>
          <w:rFonts w:ascii="Open Sans" w:eastAsia="Open Sans" w:hAnsi="Open Sans" w:cs="Open Sans"/>
          <w:sz w:val="22"/>
          <w:szCs w:val="22"/>
        </w:rPr>
      </w:pPr>
      <w:r>
        <w:rPr>
          <w:rFonts w:ascii="Open Sans" w:eastAsia="Open Sans" w:hAnsi="Open Sans" w:cs="Open Sans"/>
          <w:sz w:val="22"/>
          <w:szCs w:val="22"/>
        </w:rPr>
        <w:t>Network lab in BS Information Technology </w:t>
      </w:r>
    </w:p>
    <w:p w:rsidR="00F74031" w:rsidRDefault="00210BD9">
      <w:pPr>
        <w:rPr>
          <w:rFonts w:ascii="Open Sans" w:eastAsia="Open Sans" w:hAnsi="Open Sans" w:cs="Open Sans"/>
          <w:sz w:val="22"/>
          <w:szCs w:val="22"/>
        </w:rPr>
      </w:pPr>
      <w:r>
        <w:rPr>
          <w:rFonts w:ascii="Open Sans" w:eastAsia="Open Sans" w:hAnsi="Open Sans" w:cs="Open Sans"/>
          <w:sz w:val="22"/>
          <w:szCs w:val="22"/>
        </w:rPr>
        <w:t>Network upgrades to Joy</w:t>
      </w:r>
    </w:p>
    <w:p w:rsidR="00F74031" w:rsidRDefault="00210BD9">
      <w:pPr>
        <w:rPr>
          <w:rFonts w:ascii="Open Sans" w:eastAsia="Open Sans" w:hAnsi="Open Sans" w:cs="Open Sans"/>
          <w:sz w:val="22"/>
          <w:szCs w:val="22"/>
        </w:rPr>
      </w:pPr>
      <w:r>
        <w:rPr>
          <w:rFonts w:ascii="Open Sans" w:eastAsia="Open Sans" w:hAnsi="Open Sans" w:cs="Open Sans"/>
          <w:sz w:val="22"/>
          <w:szCs w:val="22"/>
        </w:rPr>
        <w:t>Classrooms with disability support for better access</w:t>
      </w:r>
    </w:p>
    <w:p w:rsidR="00F74031" w:rsidRDefault="00210BD9">
      <w:pPr>
        <w:rPr>
          <w:rFonts w:ascii="Open Sans" w:eastAsia="Open Sans" w:hAnsi="Open Sans" w:cs="Open Sans"/>
          <w:sz w:val="22"/>
          <w:szCs w:val="22"/>
        </w:rPr>
      </w:pPr>
      <w:r>
        <w:rPr>
          <w:rFonts w:ascii="Open Sans" w:eastAsia="Open Sans" w:hAnsi="Open Sans" w:cs="Open Sans"/>
          <w:sz w:val="22"/>
          <w:szCs w:val="22"/>
        </w:rPr>
        <w:t>La</w:t>
      </w:r>
      <w:r>
        <w:rPr>
          <w:rFonts w:ascii="Open Sans" w:eastAsia="Open Sans" w:hAnsi="Open Sans" w:cs="Open Sans"/>
          <w:sz w:val="22"/>
          <w:szCs w:val="22"/>
        </w:rPr>
        <w:t>rger reading room Global Honors</w:t>
      </w:r>
    </w:p>
    <w:p w:rsidR="00F74031" w:rsidRDefault="00210BD9">
      <w:pPr>
        <w:rPr>
          <w:rFonts w:ascii="Open Sans" w:eastAsia="Open Sans" w:hAnsi="Open Sans" w:cs="Open Sans"/>
          <w:sz w:val="22"/>
          <w:szCs w:val="22"/>
        </w:rPr>
      </w:pPr>
      <w:r>
        <w:rPr>
          <w:rFonts w:ascii="Open Sans" w:eastAsia="Open Sans" w:hAnsi="Open Sans" w:cs="Open Sans"/>
          <w:sz w:val="22"/>
          <w:szCs w:val="22"/>
        </w:rPr>
        <w:t>Simulation lab, hardware and software in Bachelor of Science in Nursing (BSN)</w:t>
      </w:r>
    </w:p>
    <w:p w:rsidR="00F74031" w:rsidRDefault="00F74031">
      <w:pPr>
        <w:rPr>
          <w:rFonts w:ascii="Open Sans" w:eastAsia="Open Sans" w:hAnsi="Open Sans" w:cs="Open Sans"/>
          <w:sz w:val="22"/>
          <w:szCs w:val="22"/>
        </w:rPr>
      </w:pPr>
    </w:p>
    <w:p w:rsidR="00F74031" w:rsidRDefault="00F74031">
      <w:pPr>
        <w:spacing w:line="276" w:lineRule="auto"/>
        <w:rPr>
          <w:rFonts w:ascii="Open Sans" w:eastAsia="Open Sans" w:hAnsi="Open Sans" w:cs="Open Sans"/>
          <w:sz w:val="22"/>
          <w:szCs w:val="22"/>
        </w:rPr>
      </w:pPr>
    </w:p>
    <w:p w:rsidR="00F74031" w:rsidRDefault="00F74031">
      <w:pPr>
        <w:spacing w:line="276" w:lineRule="auto"/>
        <w:rPr>
          <w:rFonts w:ascii="Open Sans" w:eastAsia="Open Sans" w:hAnsi="Open Sans" w:cs="Open Sans"/>
          <w:sz w:val="22"/>
          <w:szCs w:val="22"/>
        </w:rPr>
      </w:pPr>
    </w:p>
    <w:p w:rsidR="00F74031" w:rsidRDefault="00210BD9">
      <w:pPr>
        <w:spacing w:after="160" w:line="259" w:lineRule="auto"/>
        <w:rPr>
          <w:rFonts w:ascii="Open Sans" w:eastAsia="Open Sans" w:hAnsi="Open Sans" w:cs="Open Sans"/>
          <w:sz w:val="22"/>
          <w:szCs w:val="22"/>
        </w:rPr>
      </w:pPr>
      <w:r>
        <w:br w:type="page"/>
      </w:r>
    </w:p>
    <w:p w:rsidR="00F74031" w:rsidRDefault="00210BD9">
      <w:pPr>
        <w:jc w:val="center"/>
        <w:rPr>
          <w:b/>
        </w:rPr>
      </w:pPr>
      <w:r>
        <w:rPr>
          <w:b/>
        </w:rPr>
        <w:lastRenderedPageBreak/>
        <w:t>Appendix B</w:t>
      </w:r>
    </w:p>
    <w:p w:rsidR="00F74031" w:rsidRDefault="00210BD9">
      <w:pPr>
        <w:jc w:val="center"/>
      </w:pPr>
      <w:r>
        <w:rPr>
          <w:rFonts w:ascii="Arial" w:eastAsia="Arial" w:hAnsi="Arial" w:cs="Arial"/>
          <w:b/>
        </w:rPr>
        <w:t>Steering Committee on Tri-Campus Relationships</w:t>
      </w:r>
    </w:p>
    <w:p w:rsidR="00F74031" w:rsidRDefault="00210BD9">
      <w:pPr>
        <w:jc w:val="center"/>
      </w:pPr>
      <w:r>
        <w:rPr>
          <w:rFonts w:ascii="Arial" w:eastAsia="Arial" w:hAnsi="Arial" w:cs="Arial"/>
          <w:i/>
        </w:rPr>
        <w:t>Approved by the Faculty Assembly Executive Council on 06.03.19</w:t>
      </w:r>
    </w:p>
    <w:p w:rsidR="00F74031" w:rsidRDefault="00210BD9">
      <w:pPr>
        <w:spacing w:before="280" w:after="280"/>
      </w:pPr>
      <w:r>
        <w:rPr>
          <w:rFonts w:ascii="ArialMT" w:eastAsia="ArialMT" w:hAnsi="ArialMT" w:cs="ArialMT"/>
          <w:sz w:val="22"/>
          <w:szCs w:val="22"/>
        </w:rPr>
        <w:t xml:space="preserve">At the </w:t>
      </w:r>
      <w:proofErr w:type="gramStart"/>
      <w:r>
        <w:rPr>
          <w:rFonts w:ascii="ArialMT" w:eastAsia="ArialMT" w:hAnsi="ArialMT" w:cs="ArialMT"/>
          <w:sz w:val="22"/>
          <w:szCs w:val="22"/>
        </w:rPr>
        <w:t>Winter</w:t>
      </w:r>
      <w:proofErr w:type="gramEnd"/>
      <w:r>
        <w:rPr>
          <w:rFonts w:ascii="ArialMT" w:eastAsia="ArialMT" w:hAnsi="ArialMT" w:cs="ArialMT"/>
          <w:sz w:val="22"/>
          <w:szCs w:val="22"/>
        </w:rPr>
        <w:t xml:space="preserve"> 2019 Faculty Assembly meeting, Secretary of the Faculty Mike Townsend indicated that as the remaining academic units on the UWT campus are transitioning to schools, there is a need to explore and propose an updated shared governance structure</w:t>
      </w:r>
      <w:r>
        <w:rPr>
          <w:rFonts w:ascii="ArialMT" w:eastAsia="ArialMT" w:hAnsi="ArialMT" w:cs="ArialMT"/>
          <w:sz w:val="22"/>
          <w:szCs w:val="22"/>
        </w:rPr>
        <w:t xml:space="preserve"> for the Tri- Campus system. In discussing concerns about conflicts in the Faculty Code and other UW policies, Dr. Townsend noted that the President and Provost would welcome proposals from the Tacoma and Bothell campuses regarding a new relationship struc</w:t>
      </w:r>
      <w:r>
        <w:rPr>
          <w:rFonts w:ascii="ArialMT" w:eastAsia="ArialMT" w:hAnsi="ArialMT" w:cs="ArialMT"/>
          <w:sz w:val="22"/>
          <w:szCs w:val="22"/>
        </w:rPr>
        <w:t xml:space="preserve">ture with Seattle, and that these proposals may be distinct for each campus. </w:t>
      </w:r>
    </w:p>
    <w:p w:rsidR="00F74031" w:rsidRDefault="00210BD9">
      <w:pPr>
        <w:spacing w:before="280" w:after="280"/>
      </w:pPr>
      <w:r>
        <w:rPr>
          <w:rFonts w:ascii="ArialMT" w:eastAsia="ArialMT" w:hAnsi="ArialMT" w:cs="ArialMT"/>
          <w:sz w:val="22"/>
          <w:szCs w:val="22"/>
        </w:rPr>
        <w:t>To initiate work on developing a proposal for a new relationship structure, a Steering Committee on Tri-Campus Relationships, consisting of two administrative leaders and two fac</w:t>
      </w:r>
      <w:r>
        <w:rPr>
          <w:rFonts w:ascii="ArialMT" w:eastAsia="ArialMT" w:hAnsi="ArialMT" w:cs="ArialMT"/>
          <w:sz w:val="22"/>
          <w:szCs w:val="22"/>
        </w:rPr>
        <w:t xml:space="preserve">ulty members, will be commissioned by the Chancellor. This committee will be responsible for two functions: </w:t>
      </w:r>
    </w:p>
    <w:p w:rsidR="00F74031" w:rsidRDefault="00210BD9">
      <w:pPr>
        <w:spacing w:before="280" w:after="280"/>
      </w:pPr>
      <w:r>
        <w:rPr>
          <w:rFonts w:ascii="ArialMT" w:eastAsia="ArialMT" w:hAnsi="ArialMT" w:cs="ArialMT"/>
          <w:sz w:val="22"/>
          <w:szCs w:val="22"/>
        </w:rPr>
        <w:t>1) To coordinate and communicate with the Seattle and Bothell campuses on issues that are of interest to all three campuses. Collaboration across a</w:t>
      </w:r>
      <w:r>
        <w:rPr>
          <w:rFonts w:ascii="ArialMT" w:eastAsia="ArialMT" w:hAnsi="ArialMT" w:cs="ArialMT"/>
          <w:sz w:val="22"/>
          <w:szCs w:val="22"/>
        </w:rPr>
        <w:t xml:space="preserve">ll UW campuses is required because if approved, this work would result in changes to the Faculty Code and/or new legislation requiring approval of the Faculty Senate. </w:t>
      </w:r>
    </w:p>
    <w:p w:rsidR="00F74031" w:rsidRDefault="00210BD9">
      <w:r>
        <w:rPr>
          <w:rFonts w:ascii="ArialMT" w:eastAsia="ArialMT" w:hAnsi="ArialMT" w:cs="ArialMT"/>
          <w:sz w:val="22"/>
          <w:szCs w:val="22"/>
        </w:rPr>
        <w:t xml:space="preserve">2) To identify and coordinate work groups of faculty and staff that explore and propose </w:t>
      </w:r>
      <w:r>
        <w:rPr>
          <w:rFonts w:ascii="ArialMT" w:eastAsia="ArialMT" w:hAnsi="ArialMT" w:cs="ArialMT"/>
          <w:sz w:val="22"/>
          <w:szCs w:val="22"/>
        </w:rPr>
        <w:t xml:space="preserve">new structures and processes for the UW Tacoma/UW Seattle relationship and Tri-Campus relationships more generally. These work groups might address topics such as: </w:t>
      </w:r>
    </w:p>
    <w:p w:rsidR="00F74031" w:rsidRDefault="00210BD9">
      <w:pPr>
        <w:numPr>
          <w:ilvl w:val="0"/>
          <w:numId w:val="9"/>
        </w:numPr>
      </w:pPr>
      <w:r>
        <w:rPr>
          <w:rFonts w:ascii="ArialMT" w:eastAsia="ArialMT" w:hAnsi="ArialMT" w:cs="ArialMT"/>
          <w:sz w:val="22"/>
          <w:szCs w:val="22"/>
        </w:rPr>
        <w:t>Schools and Faculty: APT authority, status of Schools relative to Schools in Seattle, autho</w:t>
      </w:r>
      <w:r>
        <w:rPr>
          <w:rFonts w:ascii="ArialMT" w:eastAsia="ArialMT" w:hAnsi="ArialMT" w:cs="ArialMT"/>
          <w:sz w:val="22"/>
          <w:szCs w:val="22"/>
        </w:rPr>
        <w:t xml:space="preserve">rity for workload, other Code issues; </w:t>
      </w:r>
    </w:p>
    <w:p w:rsidR="00F74031" w:rsidRDefault="00210BD9">
      <w:pPr>
        <w:numPr>
          <w:ilvl w:val="0"/>
          <w:numId w:val="9"/>
        </w:numPr>
      </w:pPr>
      <w:r>
        <w:rPr>
          <w:rFonts w:ascii="ArialMT" w:eastAsia="ArialMT" w:hAnsi="ArialMT" w:cs="ArialMT"/>
          <w:sz w:val="22"/>
          <w:szCs w:val="22"/>
        </w:rPr>
        <w:t xml:space="preserve">Curriculum and Academics: course and program approvals, transfer equivalencies, control of summer school; </w:t>
      </w:r>
    </w:p>
    <w:p w:rsidR="00F74031" w:rsidRDefault="00210BD9">
      <w:pPr>
        <w:numPr>
          <w:ilvl w:val="0"/>
          <w:numId w:val="9"/>
        </w:numPr>
      </w:pPr>
      <w:r>
        <w:rPr>
          <w:rFonts w:ascii="ArialMT" w:eastAsia="ArialMT" w:hAnsi="ArialMT" w:cs="ArialMT"/>
          <w:sz w:val="22"/>
          <w:szCs w:val="22"/>
        </w:rPr>
        <w:t>Systems and Operations: financial aid, student databases, registration and transcripts, financial authorities,</w:t>
      </w:r>
      <w:r>
        <w:rPr>
          <w:rFonts w:ascii="ArialMT" w:eastAsia="ArialMT" w:hAnsi="ArialMT" w:cs="ArialMT"/>
          <w:sz w:val="22"/>
          <w:szCs w:val="22"/>
        </w:rPr>
        <w:t xml:space="preserve"> Title IX, fundraising; </w:t>
      </w:r>
    </w:p>
    <w:p w:rsidR="00F74031" w:rsidRDefault="00210BD9">
      <w:pPr>
        <w:numPr>
          <w:ilvl w:val="0"/>
          <w:numId w:val="9"/>
        </w:numPr>
        <w:spacing w:after="280"/>
      </w:pPr>
      <w:r>
        <w:rPr>
          <w:rFonts w:ascii="ArialMT" w:eastAsia="ArialMT" w:hAnsi="ArialMT" w:cs="ArialMT"/>
          <w:sz w:val="22"/>
          <w:szCs w:val="22"/>
        </w:rPr>
        <w:t xml:space="preserve">External Relationships: relationships to Board of Regents, legislature, alumni relations. </w:t>
      </w:r>
    </w:p>
    <w:p w:rsidR="00F74031" w:rsidRDefault="00210BD9">
      <w:pPr>
        <w:spacing w:before="280" w:after="280"/>
      </w:pPr>
      <w:r>
        <w:rPr>
          <w:rFonts w:ascii="ArialMT" w:eastAsia="ArialMT" w:hAnsi="ArialMT" w:cs="ArialMT"/>
          <w:sz w:val="22"/>
          <w:szCs w:val="22"/>
        </w:rPr>
        <w:t xml:space="preserve">To ensure transparency, this committee will solicit feedback from all faculty and report progress to the Executive Council. To identify the </w:t>
      </w:r>
      <w:r>
        <w:rPr>
          <w:rFonts w:ascii="ArialMT" w:eastAsia="ArialMT" w:hAnsi="ArialMT" w:cs="ArialMT"/>
          <w:sz w:val="22"/>
          <w:szCs w:val="22"/>
        </w:rPr>
        <w:t>faculty members who will serve on the Steering Committee, a nomination and application process will be conducted. All voting faculty members are eligible to be nominated and those who are interested in serving will be asked to write a short statement to ad</w:t>
      </w:r>
      <w:r>
        <w:rPr>
          <w:rFonts w:ascii="ArialMT" w:eastAsia="ArialMT" w:hAnsi="ArialMT" w:cs="ArialMT"/>
          <w:sz w:val="22"/>
          <w:szCs w:val="22"/>
        </w:rPr>
        <w:t xml:space="preserve">dress how they satisfy the prioritized criteria listed below. Executive Council members will vote to elect two faculty members and the Chancellor will appoint two administrative leaders. </w:t>
      </w:r>
    </w:p>
    <w:p w:rsidR="00F74031" w:rsidRDefault="00210BD9">
      <w:r>
        <w:rPr>
          <w:rFonts w:ascii="ArialMT" w:eastAsia="ArialMT" w:hAnsi="ArialMT" w:cs="ArialMT"/>
          <w:sz w:val="22"/>
          <w:szCs w:val="22"/>
        </w:rPr>
        <w:t>Prioritized criteria to serve on this steering committee include the</w:t>
      </w:r>
      <w:r>
        <w:rPr>
          <w:rFonts w:ascii="ArialMT" w:eastAsia="ArialMT" w:hAnsi="ArialMT" w:cs="ArialMT"/>
          <w:sz w:val="22"/>
          <w:szCs w:val="22"/>
        </w:rPr>
        <w:t xml:space="preserve"> following: </w:t>
      </w:r>
    </w:p>
    <w:p w:rsidR="00F74031" w:rsidRDefault="00210BD9">
      <w:pPr>
        <w:numPr>
          <w:ilvl w:val="0"/>
          <w:numId w:val="11"/>
        </w:numPr>
        <w:rPr>
          <w:rFonts w:ascii="ArialMT" w:eastAsia="ArialMT" w:hAnsi="ArialMT" w:cs="ArialMT"/>
          <w:sz w:val="22"/>
          <w:szCs w:val="22"/>
        </w:rPr>
      </w:pPr>
      <w:r>
        <w:rPr>
          <w:rFonts w:ascii="ArialMT" w:eastAsia="ArialMT" w:hAnsi="ArialMT" w:cs="ArialMT"/>
          <w:sz w:val="22"/>
          <w:szCs w:val="22"/>
        </w:rPr>
        <w:t xml:space="preserve">Established experience in academic leadership roles. </w:t>
      </w:r>
    </w:p>
    <w:p w:rsidR="00F74031" w:rsidRDefault="00210BD9">
      <w:pPr>
        <w:numPr>
          <w:ilvl w:val="0"/>
          <w:numId w:val="11"/>
        </w:numPr>
        <w:rPr>
          <w:rFonts w:ascii="ArialMT" w:eastAsia="ArialMT" w:hAnsi="ArialMT" w:cs="ArialMT"/>
          <w:sz w:val="22"/>
          <w:szCs w:val="22"/>
        </w:rPr>
      </w:pPr>
      <w:r>
        <w:rPr>
          <w:rFonts w:ascii="ArialMT" w:eastAsia="ArialMT" w:hAnsi="ArialMT" w:cs="ArialMT"/>
          <w:sz w:val="22"/>
          <w:szCs w:val="22"/>
        </w:rPr>
        <w:t xml:space="preserve">Broad knowledge of tri-campus policies and practices (faculty, administrative, etc.) including Faculty Code, administrative procedures, and decision rights; </w:t>
      </w:r>
    </w:p>
    <w:p w:rsidR="00F74031" w:rsidRDefault="00210BD9">
      <w:pPr>
        <w:numPr>
          <w:ilvl w:val="0"/>
          <w:numId w:val="13"/>
        </w:numPr>
        <w:rPr>
          <w:rFonts w:ascii="ArialMT" w:eastAsia="ArialMT" w:hAnsi="ArialMT" w:cs="ArialMT"/>
          <w:sz w:val="22"/>
          <w:szCs w:val="22"/>
        </w:rPr>
      </w:pPr>
      <w:r>
        <w:rPr>
          <w:rFonts w:ascii="ArialMT" w:eastAsia="ArialMT" w:hAnsi="ArialMT" w:cs="ArialMT"/>
          <w:sz w:val="22"/>
          <w:szCs w:val="22"/>
        </w:rPr>
        <w:t>Ability to work collaboratively</w:t>
      </w:r>
      <w:r>
        <w:rPr>
          <w:rFonts w:ascii="ArialMT" w:eastAsia="ArialMT" w:hAnsi="ArialMT" w:cs="ArialMT"/>
          <w:sz w:val="22"/>
          <w:szCs w:val="22"/>
        </w:rPr>
        <w:t xml:space="preserve"> with faculty, administration and staff to lead a complex, multi-year project; </w:t>
      </w:r>
    </w:p>
    <w:p w:rsidR="00F74031" w:rsidRDefault="00210BD9">
      <w:pPr>
        <w:numPr>
          <w:ilvl w:val="0"/>
          <w:numId w:val="13"/>
        </w:numPr>
        <w:rPr>
          <w:rFonts w:ascii="ArialMT" w:eastAsia="ArialMT" w:hAnsi="ArialMT" w:cs="ArialMT"/>
          <w:sz w:val="22"/>
          <w:szCs w:val="22"/>
        </w:rPr>
      </w:pPr>
      <w:r>
        <w:rPr>
          <w:rFonts w:ascii="ArialMT" w:eastAsia="ArialMT" w:hAnsi="ArialMT" w:cs="ArialMT"/>
          <w:sz w:val="22"/>
          <w:szCs w:val="22"/>
        </w:rPr>
        <w:t xml:space="preserve">Cross-campus relationships that support information gathering and exchange across UW; </w:t>
      </w:r>
    </w:p>
    <w:p w:rsidR="00F74031" w:rsidRDefault="00210BD9">
      <w:pPr>
        <w:numPr>
          <w:ilvl w:val="0"/>
          <w:numId w:val="13"/>
        </w:numPr>
        <w:rPr>
          <w:rFonts w:ascii="ArialMT" w:eastAsia="ArialMT" w:hAnsi="ArialMT" w:cs="ArialMT"/>
          <w:sz w:val="22"/>
          <w:szCs w:val="22"/>
        </w:rPr>
      </w:pPr>
      <w:r>
        <w:rPr>
          <w:rFonts w:ascii="ArialMT" w:eastAsia="ArialMT" w:hAnsi="ArialMT" w:cs="ArialMT"/>
          <w:sz w:val="22"/>
          <w:szCs w:val="22"/>
        </w:rPr>
        <w:t>Awareness of federal and state legislation, compliance requirements for universities, and</w:t>
      </w:r>
      <w:r>
        <w:rPr>
          <w:rFonts w:ascii="ArialMT" w:eastAsia="ArialMT" w:hAnsi="ArialMT" w:cs="ArialMT"/>
          <w:sz w:val="22"/>
          <w:szCs w:val="22"/>
        </w:rPr>
        <w:t xml:space="preserve"> shared accreditation issues; </w:t>
      </w:r>
    </w:p>
    <w:p w:rsidR="00F74031" w:rsidRDefault="00210BD9">
      <w:pPr>
        <w:spacing w:before="280" w:after="280"/>
      </w:pPr>
      <w:r>
        <w:rPr>
          <w:rFonts w:ascii="ArialMT" w:eastAsia="ArialMT" w:hAnsi="ArialMT" w:cs="ArialMT"/>
          <w:sz w:val="22"/>
          <w:szCs w:val="22"/>
        </w:rPr>
        <w:t xml:space="preserve">The anticipated term of service on this steering committee is 3 years. Faculty members on the Steering Committee will be provided with compensation in the form of supplemental pay or course release to </w:t>
      </w:r>
      <w:r>
        <w:rPr>
          <w:rFonts w:ascii="ArialMT" w:eastAsia="ArialMT" w:hAnsi="ArialMT" w:cs="ArialMT"/>
          <w:sz w:val="22"/>
          <w:szCs w:val="22"/>
        </w:rPr>
        <w:lastRenderedPageBreak/>
        <w:t>support their leadership</w:t>
      </w:r>
      <w:r>
        <w:rPr>
          <w:rFonts w:ascii="ArialMT" w:eastAsia="ArialMT" w:hAnsi="ArialMT" w:cs="ArialMT"/>
          <w:sz w:val="22"/>
          <w:szCs w:val="22"/>
        </w:rPr>
        <w:t xml:space="preserve"> roles in this work. The exact nature of the compensation will be recommended by the Steering Committee, as they define the scope and scale of the work. </w:t>
      </w:r>
    </w:p>
    <w:p w:rsidR="00F74031" w:rsidRDefault="00F74031">
      <w:pPr>
        <w:jc w:val="center"/>
      </w:pPr>
    </w:p>
    <w:p w:rsidR="00F74031" w:rsidRDefault="00F74031">
      <w:pPr>
        <w:pBdr>
          <w:top w:val="nil"/>
          <w:left w:val="nil"/>
          <w:bottom w:val="nil"/>
          <w:right w:val="nil"/>
          <w:between w:val="nil"/>
        </w:pBdr>
        <w:jc w:val="center"/>
        <w:rPr>
          <w:b/>
          <w:color w:val="000000"/>
        </w:rPr>
      </w:pPr>
    </w:p>
    <w:sectPr w:rsidR="00F7403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BD9" w:rsidRDefault="00210BD9">
      <w:r>
        <w:separator/>
      </w:r>
    </w:p>
  </w:endnote>
  <w:endnote w:type="continuationSeparator" w:id="0">
    <w:p w:rsidR="00210BD9" w:rsidRDefault="0021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Open Sans">
    <w:panose1 w:val="020B0606030504020204"/>
    <w:charset w:val="00"/>
    <w:family w:val="swiss"/>
    <w:pitch w:val="variable"/>
    <w:sig w:usb0="E00002EF" w:usb1="4000205B" w:usb2="00000028" w:usb3="00000000" w:csb0="0000019F" w:csb1="00000000"/>
  </w:font>
  <w:font w:name="ArialMT">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BD9" w:rsidRDefault="00210BD9">
      <w:r>
        <w:separator/>
      </w:r>
    </w:p>
  </w:footnote>
  <w:footnote w:type="continuationSeparator" w:id="0">
    <w:p w:rsidR="00210BD9" w:rsidRDefault="0021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031" w:rsidRDefault="00210BD9">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simplePos x="0" y="0"/>
          <wp:positionH relativeFrom="column">
            <wp:posOffset>-212140</wp:posOffset>
          </wp:positionH>
          <wp:positionV relativeFrom="paragraph">
            <wp:posOffset>-135787</wp:posOffset>
          </wp:positionV>
          <wp:extent cx="2800350" cy="344170"/>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1"/>
                  <a:srcRect/>
                  <a:stretch>
                    <a:fillRect/>
                  </a:stretch>
                </pic:blipFill>
                <pic:spPr>
                  <a:xfrm>
                    <a:off x="0" y="0"/>
                    <a:ext cx="2800350" cy="3441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130"/>
    <w:multiLevelType w:val="multilevel"/>
    <w:tmpl w:val="DAA2FD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0E3F2C"/>
    <w:multiLevelType w:val="multilevel"/>
    <w:tmpl w:val="710AF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1444D"/>
    <w:multiLevelType w:val="multilevel"/>
    <w:tmpl w:val="F91409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8D7377"/>
    <w:multiLevelType w:val="multilevel"/>
    <w:tmpl w:val="B914B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8CC0067"/>
    <w:multiLevelType w:val="multilevel"/>
    <w:tmpl w:val="5ABEC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502B81"/>
    <w:multiLevelType w:val="multilevel"/>
    <w:tmpl w:val="524C930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6251B8"/>
    <w:multiLevelType w:val="multilevel"/>
    <w:tmpl w:val="6D9A3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960050"/>
    <w:multiLevelType w:val="multilevel"/>
    <w:tmpl w:val="5EEAC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DD17DF"/>
    <w:multiLevelType w:val="multilevel"/>
    <w:tmpl w:val="FDBE2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6C2414"/>
    <w:multiLevelType w:val="multilevel"/>
    <w:tmpl w:val="93F23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85500B"/>
    <w:multiLevelType w:val="multilevel"/>
    <w:tmpl w:val="12349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737DAA"/>
    <w:multiLevelType w:val="multilevel"/>
    <w:tmpl w:val="82EC3D0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85E3ABD"/>
    <w:multiLevelType w:val="multilevel"/>
    <w:tmpl w:val="56CC4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105698"/>
    <w:multiLevelType w:val="multilevel"/>
    <w:tmpl w:val="C0DC3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085D7F"/>
    <w:multiLevelType w:val="multilevel"/>
    <w:tmpl w:val="4746B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74065A"/>
    <w:multiLevelType w:val="multilevel"/>
    <w:tmpl w:val="B3E6F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163777"/>
    <w:multiLevelType w:val="multilevel"/>
    <w:tmpl w:val="080CE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C7682D"/>
    <w:multiLevelType w:val="multilevel"/>
    <w:tmpl w:val="862E34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F5771AD"/>
    <w:multiLevelType w:val="multilevel"/>
    <w:tmpl w:val="98CAF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27D4EF3"/>
    <w:multiLevelType w:val="multilevel"/>
    <w:tmpl w:val="107A89A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D532F8"/>
    <w:multiLevelType w:val="multilevel"/>
    <w:tmpl w:val="3F2CC86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55BB245F"/>
    <w:multiLevelType w:val="multilevel"/>
    <w:tmpl w:val="2292A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271BF1"/>
    <w:multiLevelType w:val="multilevel"/>
    <w:tmpl w:val="2BC48A7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5C48767B"/>
    <w:multiLevelType w:val="multilevel"/>
    <w:tmpl w:val="35F6834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5CF02C9A"/>
    <w:multiLevelType w:val="multilevel"/>
    <w:tmpl w:val="A7088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A844C4"/>
    <w:multiLevelType w:val="multilevel"/>
    <w:tmpl w:val="C99AB3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8843FE1"/>
    <w:multiLevelType w:val="multilevel"/>
    <w:tmpl w:val="98A6A2C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7AAE4B2A"/>
    <w:multiLevelType w:val="multilevel"/>
    <w:tmpl w:val="A25AC0E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8F4207"/>
    <w:multiLevelType w:val="multilevel"/>
    <w:tmpl w:val="A3380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E47F55"/>
    <w:multiLevelType w:val="multilevel"/>
    <w:tmpl w:val="554CA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F523AD"/>
    <w:multiLevelType w:val="multilevel"/>
    <w:tmpl w:val="A9E8AB7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3"/>
  </w:num>
  <w:num w:numId="3">
    <w:abstractNumId w:val="9"/>
  </w:num>
  <w:num w:numId="4">
    <w:abstractNumId w:val="15"/>
  </w:num>
  <w:num w:numId="5">
    <w:abstractNumId w:val="27"/>
  </w:num>
  <w:num w:numId="6">
    <w:abstractNumId w:val="1"/>
  </w:num>
  <w:num w:numId="7">
    <w:abstractNumId w:val="19"/>
  </w:num>
  <w:num w:numId="8">
    <w:abstractNumId w:val="28"/>
  </w:num>
  <w:num w:numId="9">
    <w:abstractNumId w:val="17"/>
  </w:num>
  <w:num w:numId="10">
    <w:abstractNumId w:val="13"/>
  </w:num>
  <w:num w:numId="11">
    <w:abstractNumId w:val="0"/>
  </w:num>
  <w:num w:numId="12">
    <w:abstractNumId w:val="24"/>
  </w:num>
  <w:num w:numId="13">
    <w:abstractNumId w:val="11"/>
  </w:num>
  <w:num w:numId="14">
    <w:abstractNumId w:val="5"/>
  </w:num>
  <w:num w:numId="15">
    <w:abstractNumId w:val="8"/>
  </w:num>
  <w:num w:numId="16">
    <w:abstractNumId w:val="18"/>
  </w:num>
  <w:num w:numId="17">
    <w:abstractNumId w:val="2"/>
  </w:num>
  <w:num w:numId="18">
    <w:abstractNumId w:val="29"/>
  </w:num>
  <w:num w:numId="19">
    <w:abstractNumId w:val="20"/>
  </w:num>
  <w:num w:numId="20">
    <w:abstractNumId w:val="23"/>
  </w:num>
  <w:num w:numId="21">
    <w:abstractNumId w:val="25"/>
  </w:num>
  <w:num w:numId="22">
    <w:abstractNumId w:val="30"/>
  </w:num>
  <w:num w:numId="23">
    <w:abstractNumId w:val="4"/>
  </w:num>
  <w:num w:numId="24">
    <w:abstractNumId w:val="10"/>
  </w:num>
  <w:num w:numId="25">
    <w:abstractNumId w:val="14"/>
  </w:num>
  <w:num w:numId="26">
    <w:abstractNumId w:val="16"/>
  </w:num>
  <w:num w:numId="27">
    <w:abstractNumId w:val="12"/>
  </w:num>
  <w:num w:numId="28">
    <w:abstractNumId w:val="22"/>
  </w:num>
  <w:num w:numId="29">
    <w:abstractNumId w:val="7"/>
  </w:num>
  <w:num w:numId="30">
    <w:abstractNumId w:val="2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31"/>
    <w:rsid w:val="00210BD9"/>
    <w:rsid w:val="003D3166"/>
    <w:rsid w:val="00F7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6BA6"/>
  <w15:docId w15:val="{DF353C53-E8E2-48AD-BAFA-DA269DFC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acoma.uw.edu/strategic-planning/strategic-priorities-impact-go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5283</Words>
  <Characters>30114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aseibert</dc:creator>
  <cp:lastModifiedBy>aseibert</cp:lastModifiedBy>
  <cp:revision>2</cp:revision>
  <dcterms:created xsi:type="dcterms:W3CDTF">2019-10-22T19:32:00Z</dcterms:created>
  <dcterms:modified xsi:type="dcterms:W3CDTF">2019-10-22T19:32:00Z</dcterms:modified>
</cp:coreProperties>
</file>