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9th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Consent Agenda &amp; Recording Permission/Land Acknowledgement</w:t>
      </w:r>
    </w:p>
    <w:p w:rsidR="00000000" w:rsidDel="00000000" w:rsidP="00000000" w:rsidRDefault="00000000" w:rsidRPr="00000000" w14:paraId="0000000B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May 12,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–06.09.2021 Module</w:t>
      </w:r>
    </w:p>
    <w:p w:rsidR="00000000" w:rsidDel="00000000" w:rsidP="00000000" w:rsidRDefault="00000000" w:rsidRPr="00000000" w14:paraId="0000000E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Hybrid and DL Policy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7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Request to approve Pilot Online Synchronous delivery for the </w:t>
      </w:r>
      <w:r w:rsidDel="00000000" w:rsidR="00000000" w:rsidRPr="00000000">
        <w:rPr>
          <w:b w:val="1"/>
          <w:rtl w:val="0"/>
        </w:rPr>
        <w:t xml:space="preserve">Graduate Certificate for Software Development Engineering (GC-SDE)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2021-2022 APCC Meetings (In person, Zoom, or both)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1B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Masters in Education (Secondary Education, See documents in email and Canvas)</w:t>
      </w:r>
    </w:p>
    <w:p w:rsidR="00000000" w:rsidDel="00000000" w:rsidP="00000000" w:rsidRDefault="00000000" w:rsidRPr="00000000" w14:paraId="0000001D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Masters in Education (Elementary Education, See documents in email and Canvas)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2853"/>
        </w:tabs>
        <w:spacing w:after="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Education and Community Engagement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2853"/>
        </w:tabs>
        <w:spacing w:after="0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Teaching, Learning and Justice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2853"/>
        </w:tabs>
        <w:spacing w:after="0" w:lineRule="auto"/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SPSY 548: Applied Child and Adolescent Development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2853"/>
        </w:tabs>
        <w:spacing w:after="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 BIOL 455: Ecotoxicology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</w:p>
    <w:p w:rsidR="00000000" w:rsidDel="00000000" w:rsidP="00000000" w:rsidRDefault="00000000" w:rsidRPr="00000000" w14:paraId="00000027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pos="2853"/>
        </w:tabs>
        <w:spacing w:after="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EDUC 503: Assessment Foundations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pos="2853"/>
        </w:tabs>
        <w:spacing w:after="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EDUC 533: Managing Secondary Classrooms with Empathy, Equity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pos="2853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EDUC 542: Classroom and School Behavior Support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2853"/>
        </w:tabs>
        <w:spacing w:after="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 EDUC 548: Classroom Management with Empathy, Equity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pos="2853"/>
        </w:tabs>
        <w:spacing w:after="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 EDUC 560: Mathematics Methods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pos="2853"/>
        </w:tabs>
        <w:spacing w:after="0" w:lineRule="auto"/>
        <w:ind w:left="72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 EDUC 561: Mathematics Methods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2853"/>
        </w:tabs>
        <w:spacing w:after="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EDSP 545: Individualized Supports for Students with Emotional and Behavioral Changes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  <w:tab/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 EDSP 548: Special Education Classroom Management with Empathy, Equity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(If time permits)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APCC Annual Report</w:t>
      </w:r>
      <w:r w:rsidDel="00000000" w:rsidR="00000000" w:rsidRPr="00000000">
        <w:rPr>
          <w:rtl w:val="0"/>
        </w:rPr>
        <w:t xml:space="preserve"> 2020-21</w:t>
      </w:r>
    </w:p>
    <w:p w:rsidR="00000000" w:rsidDel="00000000" w:rsidP="00000000" w:rsidRDefault="00000000" w:rsidRPr="00000000" w14:paraId="00000033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Best Practices for Course Proposals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pos="2853"/>
        </w:tabs>
        <w:spacing w:after="0" w:lineRule="auto"/>
        <w:ind w:left="720" w:firstLine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Best Practices for Program Proposals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Goals for next year’s APCC?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22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fJpODN1dlyBVV9sNckFe6cX4_oPOtrndnFFTNZC6zkw/edit?usp=sharing" TargetMode="External"/><Relationship Id="rId11" Type="http://schemas.openxmlformats.org/officeDocument/2006/relationships/hyperlink" Target="https://uw.kuali.co/cm/#/courses/view/60a6e539fe652abd9787de74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uw.kuali.co/cm/#/courses/view/60a829b65a7302b9a81b343d" TargetMode="External"/><Relationship Id="rId21" Type="http://schemas.openxmlformats.org/officeDocument/2006/relationships/hyperlink" Target="https://washington.zoom.us/j/91456029557" TargetMode="External"/><Relationship Id="rId13" Type="http://schemas.openxmlformats.org/officeDocument/2006/relationships/hyperlink" Target="https://uw.kuali.co/cm/#/courses/view/60a6e13f4f96e10f594f5775" TargetMode="External"/><Relationship Id="rId12" Type="http://schemas.openxmlformats.org/officeDocument/2006/relationships/hyperlink" Target="https://uw.kuali.co/cm/#/courses/view/60ae6943f2b0360441d81cc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60a6e7f72488be8371f042d7" TargetMode="External"/><Relationship Id="rId15" Type="http://schemas.openxmlformats.org/officeDocument/2006/relationships/hyperlink" Target="https://uw.kuali.co/cm/#/courses/view/60a68b55bdec46037bb5fdad" TargetMode="External"/><Relationship Id="rId14" Type="http://schemas.openxmlformats.org/officeDocument/2006/relationships/hyperlink" Target="https://uw.kuali.co/cm/#/courses/view/60ae6c19fc16fe870662714c" TargetMode="External"/><Relationship Id="rId17" Type="http://schemas.openxmlformats.org/officeDocument/2006/relationships/hyperlink" Target="https://uw.kuali.co/cm/#/courses/view/60a6dca51ec8962c08a85c3d" TargetMode="External"/><Relationship Id="rId16" Type="http://schemas.openxmlformats.org/officeDocument/2006/relationships/hyperlink" Target="https://uw.kuali.co/cm/#/courses/view/60ae74832b0c0ef702a3448f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NgdnA_XjzH1Q6Nb0r4dFkxjPTKag5nAtFQyI2RHCCO4/edit?usp=sharing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uw.kuali.co/cm/#/courses/view/60ae651ef2b0367980d81ca6" TargetMode="External"/><Relationship Id="rId7" Type="http://schemas.openxmlformats.org/officeDocument/2006/relationships/hyperlink" Target="https://uw.kuali.co/cm/#/programs/view/609d4c88e2048216a61a1833" TargetMode="External"/><Relationship Id="rId8" Type="http://schemas.openxmlformats.org/officeDocument/2006/relationships/hyperlink" Target="https://uw.kuali.co/cm/#/programs/view/609d48875cad4806db2e3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