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7gk42ld92tt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qz7zg374yx5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Assembly Executive Council Meeting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Friday, November 5, 1:00 p.m. - 3:00 p.m.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Zoom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https://washington.zoom.us/j/98997107431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+1 253 215 8782 US (Tacoma)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+1 206 337 9723 US (Seattle)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color w:val="000000"/>
          <w:rtl w:val="0"/>
        </w:rPr>
        <w:t xml:space="preserve">Meeting ID: </w:t>
      </w:r>
      <w:r w:rsidDel="00000000" w:rsidR="00000000" w:rsidRPr="00000000">
        <w:rPr>
          <w:rtl w:val="0"/>
        </w:rPr>
        <w:t xml:space="preserve">989 9710 7431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Openning 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1:00-1:05: Approval of Agenda/Meeting Minutes/Permission to record Zoom meeting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1:05-1:20: Introductions (Re-Do)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Reports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1:20-1:30: EVCAA Report - Ali Modarres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1:30-1:40: Chair and Vice Chair’s Report - Turan Kayaoglu / Menaka Abraham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Action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1:40-2:00: Faculty Assembly Priorities, 2021-22 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2:00-2:05: Break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Action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2:05-2:10: Budget and Planning Committee Membership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2:10-2:30: Faculty Assembly Task Force on APT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Comments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2:30-2:40: Comments and Announcements.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Adjournment/Close meeting for Executive Session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 Session</w:t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  <w:t xml:space="preserve">2:40-3:00: Executive Session (Open to EC Voting Members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l4ppqhb4k8l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89p5rihjwzhu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asqxflfymzj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8997107431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