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Friday, 1/7/2022, 1:00 p.m. - 3:00 p.m.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</w:t>
      </w:r>
      <w:r w:rsidDel="00000000" w:rsidR="00000000" w:rsidRPr="00000000">
        <w:rPr>
          <w:rtl w:val="0"/>
        </w:rPr>
        <w:t xml:space="preserve">989 9710 7431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1:00-1:05: Land Acknowledgement; Approval of Minutes; Permission to Record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1:05-1:20: Introductions–again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1:20-1:30: EVCAA Report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1:30-1:40: FA Chair/Vice Chair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1:40-2:00: Serving on the EC: Rights, Roles,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2:00-2:05: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2:10-2:25: Hybrid/Distance Learning Policy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2:25-2:40: Academic Plan Process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Discussion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2:40-3:00: FA Taskforce on APT: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