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December 8th 2021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Members Present: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Chair Julie Masura, Joan Bleecker, Laura Feuerborn, Jeff Cohen, Susan Johnson, Ankur Suri, Tanya Velasquez,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Non-voting members: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Patrick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Pow (Information Technology)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Andrea Coker-Anderson (Registrar), Serin Anderson (UWT Library)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Excused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ban Studies Representative (See minutes),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Shahrokh Saudagaran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Absent: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Tammy Jez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Academic Affairs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Ali Modarres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(Interim EVCAA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), Lorraine Dinnel (University Academic Advising),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Jai’Shon Berry (ASUWT)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Guests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Erik Tou(SIAS-SAM), Emese Hadnagy(SET), Aubree Steffens (MSB)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Administrative Support: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Andrew J. Seibert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rPr>
          <w:color w:val="00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tabs>
          <w:tab w:val="center" w:pos="2853"/>
        </w:tabs>
        <w:spacing w:after="80" w:before="360" w:lineRule="auto"/>
        <w:ind w:left="72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1440" w:hanging="720"/>
        <w:rPr>
          <w:i w:val="1"/>
        </w:rPr>
      </w:pPr>
      <w:r w:rsidDel="00000000" w:rsidR="00000000" w:rsidRPr="00000000">
        <w:rPr>
          <w:b w:val="1"/>
          <w:rtl w:val="0"/>
        </w:rPr>
        <w:t xml:space="preserve">Member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rPr/>
      </w:pPr>
      <w:r w:rsidDel="00000000" w:rsidR="00000000" w:rsidRPr="00000000">
        <w:rPr>
          <w:i w:val="1"/>
          <w:rtl w:val="0"/>
        </w:rPr>
        <w:t xml:space="preserve">School of Urban Studies: Due to shortage of available faculty, Urban Studies will not have a representative this Academic year.  Jeff Cohen has agreed to liaise information from APCC to their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8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November 10th,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–12.08.2021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approve the minutes</w:t>
      </w:r>
      <w:r w:rsidDel="00000000" w:rsidR="00000000" w:rsidRPr="00000000">
        <w:rPr>
          <w:rtl w:val="0"/>
        </w:rPr>
        <w:t xml:space="preserve"> as written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was made by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Joan Bleecker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seconded by </w:t>
      </w:r>
      <w:r w:rsidDel="00000000" w:rsidR="00000000" w:rsidRPr="00000000">
        <w:rPr>
          <w:rtl w:val="0"/>
        </w:rPr>
        <w:t xml:space="preserve">Ankur Suri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 -</w:t>
      </w:r>
      <w:r w:rsidDel="00000000" w:rsidR="00000000" w:rsidRPr="00000000">
        <w:rPr>
          <w:rtl w:val="0"/>
        </w:rPr>
        <w:t xml:space="preserve"> representative was absent due to hosting AVC Enrollment Services</w:t>
      </w:r>
    </w:p>
    <w:p w:rsidR="00000000" w:rsidDel="00000000" w:rsidP="00000000" w:rsidRDefault="00000000" w:rsidRPr="00000000" w14:paraId="0000001C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UWCC Updates - </w:t>
      </w:r>
      <w:r w:rsidDel="00000000" w:rsidR="00000000" w:rsidRPr="00000000">
        <w:rPr>
          <w:rtl w:val="0"/>
        </w:rPr>
        <w:t xml:space="preserve">135 courses were reviewed. 2 courses were from UWT. Next meeting, reviewing 96 proposals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updates -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APT Task Force (applications) - APCC Chair Julie Masura offered to connect representatives with FA Chair Dr. Turan Kayaoglu for anyone interested in serving on the Taskforce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Faculty Affairs COVID Survey - The Faculty Affairs Committee developed the COVID-19 Needs Survey and a report will be heard at the next Executive Council meeting. Chair recommended all representatives to attend the EC meeting on the COVID-19 Survey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27">
      <w:pPr>
        <w:tabs>
          <w:tab w:val="center" w:pos="2853"/>
        </w:tabs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APCC Meetings In-Person or Remote</w:t>
      </w:r>
    </w:p>
    <w:p w:rsidR="00000000" w:rsidDel="00000000" w:rsidP="00000000" w:rsidRDefault="00000000" w:rsidRPr="00000000" w14:paraId="0000002A">
      <w:pPr>
        <w:pageBreakBefore w:val="0"/>
        <w:spacing w:after="0" w:lineRule="auto"/>
        <w:ind w:left="21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 (5)</w:t>
      </w:r>
    </w:p>
    <w:p w:rsidR="00000000" w:rsidDel="00000000" w:rsidP="00000000" w:rsidRDefault="00000000" w:rsidRPr="00000000" w14:paraId="0000002D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tabs>
          <w:tab w:val="center" w:pos="2853"/>
        </w:tabs>
        <w:spacing w:after="0" w:lineRule="auto"/>
        <w:ind w:left="720" w:hanging="36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Mathematics Minor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 motion was made to approve the Mathematics Program Change Proposal as written. Moved by Ankur Suri and seconded by Jeff Cohen</w:t>
      </w:r>
    </w:p>
    <w:p w:rsidR="00000000" w:rsidDel="00000000" w:rsidP="00000000" w:rsidRDefault="00000000" w:rsidRPr="00000000" w14:paraId="00000030">
      <w:pPr>
        <w:numPr>
          <w:ilvl w:val="2"/>
          <w:numId w:val="9"/>
        </w:numPr>
        <w:spacing w:after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tabs>
          <w:tab w:val="center" w:pos="2853"/>
        </w:tabs>
        <w:spacing w:after="0" w:lineRule="auto"/>
        <w:ind w:left="72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Urban Design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Jeff Cohen asked if a course was a introductory course, and Mark Pendras emailed Jeff confirming that it is more of a reflective seminar course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 motion was made to approve the Urban Design Program Change Proposal as pending clarification on the course mentioned. Moved by Susan Johnson and seconded by Laura Feuerborn</w:t>
      </w:r>
    </w:p>
    <w:p w:rsidR="00000000" w:rsidDel="00000000" w:rsidP="00000000" w:rsidRDefault="00000000" w:rsidRPr="00000000" w14:paraId="00000034">
      <w:pPr>
        <w:numPr>
          <w:ilvl w:val="2"/>
          <w:numId w:val="9"/>
        </w:numPr>
        <w:spacing w:after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tabs>
          <w:tab w:val="center" w:pos="2853"/>
        </w:tabs>
        <w:spacing w:after="0" w:lineRule="auto"/>
        <w:ind w:left="72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Civil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Recommendation to put program prerequisites as recommended preparation. Academic Advisors know how to interpret that for the Students.</w:t>
      </w:r>
    </w:p>
    <w:p w:rsidR="00000000" w:rsidDel="00000000" w:rsidP="00000000" w:rsidRDefault="00000000" w:rsidRPr="00000000" w14:paraId="00000037">
      <w:pPr>
        <w:numPr>
          <w:ilvl w:val="2"/>
          <w:numId w:val="9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Also recommendation that if restricting registration to student major, it can be done as well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 motion was made to approve the Civil Engineering Program Change Proposal as written. Moved by Ankur Suri and seconded by Joan Bleecker</w:t>
      </w:r>
    </w:p>
    <w:p w:rsidR="00000000" w:rsidDel="00000000" w:rsidP="00000000" w:rsidRDefault="00000000" w:rsidRPr="00000000" w14:paraId="00000039">
      <w:pPr>
        <w:numPr>
          <w:ilvl w:val="2"/>
          <w:numId w:val="9"/>
        </w:numPr>
        <w:spacing w:after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tabs>
          <w:tab w:val="center" w:pos="2853"/>
        </w:tabs>
        <w:spacing w:after="0" w:lineRule="auto"/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Nursing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center" w:pos="2853"/>
        </w:tabs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 motion was made to approve the Nursing Program Change Proposal as written. Moved by Joan Bleecker and seconded by Laura Feuerborn</w:t>
      </w:r>
    </w:p>
    <w:p w:rsidR="00000000" w:rsidDel="00000000" w:rsidP="00000000" w:rsidRDefault="00000000" w:rsidRPr="00000000" w14:paraId="0000003D">
      <w:pPr>
        <w:numPr>
          <w:ilvl w:val="2"/>
          <w:numId w:val="9"/>
        </w:numPr>
        <w:spacing w:after="0" w:lineRule="auto"/>
        <w:ind w:left="216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7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tabs>
          <w:tab w:val="center" w:pos="2853"/>
        </w:tabs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Significant Change (MSBA Program, See email from F A Admin and Canvas )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 motion was made to approve Significant Change in the MSBA as written. Moved  by Susan Johnson and seconded by Tanya Velasquez</w:t>
      </w:r>
    </w:p>
    <w:p w:rsidR="00000000" w:rsidDel="00000000" w:rsidP="00000000" w:rsidRDefault="00000000" w:rsidRPr="00000000" w14:paraId="00000040">
      <w:pPr>
        <w:numPr>
          <w:ilvl w:val="2"/>
          <w:numId w:val="9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7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(9)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TMATH 160: Calculus II Collaborative Learning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Update syllabus with Course description in catalog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Change attendance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TCE 304: Civil Engineering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TCE 347: Fluid Mechanics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TCE 417: Geometric Design of Highways and Streets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TCE 484: Sustainable Environmental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TNURS 360: Critical Analysis and Nursing Scholarship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Remove rubric in syllabus (Recommendation)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TNURS 420: Care Coordination and Person-Centered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Grade measuring language clarification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Add more language from assignment number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TNURS 440: Interprofessional Collaboration and Communication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Suggest to remove late policy. If the proposer would like to keep this language then specify percentage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tabs>
          <w:tab w:val="center" w:pos="2853"/>
        </w:tabs>
        <w:spacing w:after="0" w:lineRule="auto"/>
        <w:ind w:left="144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TNURS 460: Leading Health Care System Quality &amp; Safety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tabs>
          <w:tab w:val="center" w:pos="2853"/>
        </w:tabs>
        <w:spacing w:after="0" w:lineRule="auto"/>
        <w:ind w:left="2160" w:hanging="360"/>
      </w:pPr>
      <w:r w:rsidDel="00000000" w:rsidR="00000000" w:rsidRPr="00000000">
        <w:rPr>
          <w:rtl w:val="0"/>
        </w:rPr>
        <w:t xml:space="preserve">Suggest to remove late policy. If the proposer would like to keep this language then specify percentage off</w:t>
      </w:r>
    </w:p>
    <w:p w:rsidR="00000000" w:rsidDel="00000000" w:rsidP="00000000" w:rsidRDefault="00000000" w:rsidRPr="00000000" w14:paraId="00000055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6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to approve all new courses by Jeff Cohen and seconded by Laura Feuerborn</w:t>
      </w:r>
    </w:p>
    <w:p w:rsidR="00000000" w:rsidDel="00000000" w:rsidP="00000000" w:rsidRDefault="00000000" w:rsidRPr="00000000" w14:paraId="00000058">
      <w:pPr>
        <w:pageBreakBefore w:val="0"/>
        <w:numPr>
          <w:ilvl w:val="1"/>
          <w:numId w:val="6"/>
        </w:numPr>
        <w:spacing w:after="0" w:line="240" w:lineRule="auto"/>
        <w:ind w:left="21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5 yes, 0 no, 0 abstentions</w:t>
      </w:r>
    </w:p>
    <w:p w:rsidR="00000000" w:rsidDel="00000000" w:rsidP="00000000" w:rsidRDefault="00000000" w:rsidRPr="00000000" w14:paraId="00000059">
      <w:pPr>
        <w:pageBreakBefore w:val="0"/>
        <w:numPr>
          <w:ilvl w:val="2"/>
          <w:numId w:val="6"/>
        </w:numPr>
        <w:spacing w:after="0" w:line="240" w:lineRule="auto"/>
        <w:ind w:left="288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1 vote was yes with advised changes mentioned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pageBreakBefore w:val="0"/>
        <w:numPr>
          <w:ilvl w:val="0"/>
          <w:numId w:val="8"/>
        </w:numPr>
        <w:tabs>
          <w:tab w:val="center" w:pos="2040"/>
        </w:tabs>
        <w:spacing w:line="240" w:lineRule="auto"/>
        <w:ind w:left="720" w:hanging="72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Course Change Proposals</w:t>
      </w:r>
      <w:r w:rsidDel="00000000" w:rsidR="00000000" w:rsidRPr="00000000">
        <w:rPr>
          <w:rtl w:val="0"/>
        </w:rPr>
        <w:t xml:space="preserve"> (12)</w:t>
      </w:r>
    </w:p>
    <w:p w:rsidR="00000000" w:rsidDel="00000000" w:rsidP="00000000" w:rsidRDefault="00000000" w:rsidRPr="00000000" w14:paraId="0000005F">
      <w:pPr>
        <w:pageBreakBefore w:val="0"/>
        <w:tabs>
          <w:tab w:val="center" w:pos="20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TMATH 124: Calculus with Analytic Geometry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1"/>
          <w:numId w:val="1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Move first sentence to last in course description in both syllabus and UWCM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TMATH 159: Calculus I Collaborative Learning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Combine first two sentences in course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line="240" w:lineRule="auto"/>
        <w:ind w:left="2160" w:hanging="360"/>
      </w:pPr>
      <w:r w:rsidDel="00000000" w:rsidR="00000000" w:rsidRPr="00000000">
        <w:rPr>
          <w:rtl w:val="0"/>
        </w:rPr>
        <w:t xml:space="preserve">Acknowledgement of responsibility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 EDLD 591: Indigenous Leadership in Education and Community Contexts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Remove “The goal of this course is to…”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Grading language going beyond normal expectations language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tabs>
          <w:tab w:val="center" w:pos="2853"/>
        </w:tabs>
        <w:spacing w:after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Vague language, expecting student to go beyond expected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Change language in grading to a graduate level course (e.g. undergraduate)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 EDLD 602: Community Grounded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Recommendation to change formatting in syllabus under policy and expectations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Learning objectives don't match from UWCM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Course description needs to be a little shorter (max of 50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 EDSP 544: Special Education Assessment and Evaluation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</w:pPr>
      <w:r w:rsidDel="00000000" w:rsidR="00000000" w:rsidRPr="00000000">
        <w:rPr>
          <w:rtl w:val="0"/>
        </w:rPr>
        <w:t xml:space="preserve">Work on language in course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 EDSP 547: Special Education and the Law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TBIOMD 492: Critical Reading in Biomedical Sciences Literature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</w:pPr>
      <w:r w:rsidDel="00000000" w:rsidR="00000000" w:rsidRPr="00000000">
        <w:rPr>
          <w:rtl w:val="0"/>
        </w:rPr>
        <w:t xml:space="preserve">Participation 20%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tabs>
          <w:tab w:val="center" w:pos="2853"/>
        </w:tabs>
        <w:spacing w:after="0" w:lineRule="auto"/>
        <w:ind w:left="2880" w:hanging="360"/>
      </w:pPr>
      <w:r w:rsidDel="00000000" w:rsidR="00000000" w:rsidRPr="00000000">
        <w:rPr>
          <w:rtl w:val="0"/>
        </w:rPr>
        <w:t xml:space="preserve">Change language to weekly seminar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TCE 307: Construction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TCE 436: Foundation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TCE 473: Hydraulic Engineering and Hydrology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TNURS 407: Diversity, Health, and Inequities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Questioned removal of VLPA designation and kept “Art Exhibit Analysis”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SLO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tabs>
          <w:tab w:val="center" w:pos="2853"/>
        </w:tabs>
        <w:spacing w:after="0" w:lineRule="auto"/>
        <w:ind w:left="1440" w:hanging="36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TNURS 410: Ethical Issues in Healthcare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after="0"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after="3" w:lineRule="auto"/>
        <w:ind w:left="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7"/>
        </w:numPr>
        <w:spacing w:after="0" w:after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 motion was made to approve the course change proposals pending suggestions from the committee by Jeff Cohen and seconded by Joan Bleecker.</w:t>
      </w:r>
    </w:p>
    <w:p w:rsidR="00000000" w:rsidDel="00000000" w:rsidP="00000000" w:rsidRDefault="00000000" w:rsidRPr="00000000" w14:paraId="0000007E">
      <w:pPr>
        <w:pageBreakBefore w:val="0"/>
        <w:numPr>
          <w:ilvl w:val="1"/>
          <w:numId w:val="7"/>
        </w:numPr>
        <w:spacing w:after="3" w:lineRule="auto"/>
        <w:ind w:left="2160" w:hanging="360"/>
        <w:rPr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5 yes, 0 no, 1 abstention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pageBreakBefore w:val="0"/>
        <w:tabs>
          <w:tab w:val="center" w:pos="204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tabs>
          <w:tab w:val="center" w:pos="2853"/>
        </w:tabs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(Sent via Email to Committee)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after="3" w:lineRule="auto"/>
        <w:ind w:left="720" w:firstLine="0"/>
        <w:rPr/>
      </w:pPr>
      <w:r w:rsidDel="00000000" w:rsidR="00000000" w:rsidRPr="00000000">
        <w:rPr>
          <w:rtl w:val="0"/>
        </w:rPr>
        <w:t xml:space="preserve">Two petitions were reviewed by APCC.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was adjourned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12:30-2:00 PM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21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0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w.kuali.co/cm/#/courses/view/6174d1b116fc5778adc8d610" TargetMode="External"/><Relationship Id="rId22" Type="http://schemas.openxmlformats.org/officeDocument/2006/relationships/hyperlink" Target="https://uw.kuali.co/cm/#/courses/view/61944cd6182a0f347a228369" TargetMode="External"/><Relationship Id="rId21" Type="http://schemas.openxmlformats.org/officeDocument/2006/relationships/hyperlink" Target="https://uw.kuali.co/cm/#/courses/view/60c248cb74e34ab087f935bd" TargetMode="External"/><Relationship Id="rId24" Type="http://schemas.openxmlformats.org/officeDocument/2006/relationships/hyperlink" Target="https://uw.kuali.co/cm/#/courses/view/6192bf0174395d45aa93202a" TargetMode="External"/><Relationship Id="rId23" Type="http://schemas.openxmlformats.org/officeDocument/2006/relationships/hyperlink" Target="https://uw.kuali.co/cm/#/courses/view/617b151b61b4d1449e6b7ea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19bed2487c82e2c697693a8" TargetMode="External"/><Relationship Id="rId26" Type="http://schemas.openxmlformats.org/officeDocument/2006/relationships/hyperlink" Target="https://uw.kuali.co/cm/#/courses/view/6171b1d5d1b9eeb6f99a518e" TargetMode="External"/><Relationship Id="rId25" Type="http://schemas.openxmlformats.org/officeDocument/2006/relationships/hyperlink" Target="https://uw.kuali.co/cm/#/courses/view/6192c44c0f0adc4d815b10c4" TargetMode="External"/><Relationship Id="rId28" Type="http://schemas.openxmlformats.org/officeDocument/2006/relationships/hyperlink" Target="https://uw.kuali.co/cm/#/courses/view/6197da90fb0c62093c650d8a" TargetMode="External"/><Relationship Id="rId27" Type="http://schemas.openxmlformats.org/officeDocument/2006/relationships/hyperlink" Target="https://uw.kuali.co/cm/#/courses/view/61980e09856a77712062bc0d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uw.kuali.co/cm/#/courses/view/6197cf573016b7575014d4a8" TargetMode="External"/><Relationship Id="rId7" Type="http://schemas.openxmlformats.org/officeDocument/2006/relationships/hyperlink" Target="https://uw.kuali.co/cm/#/programs/view/6144cd71f84393c9497c8ca4" TargetMode="External"/><Relationship Id="rId8" Type="http://schemas.openxmlformats.org/officeDocument/2006/relationships/hyperlink" Target="https://uw.kuali.co/cm/#/programs/view/619bcfe423ae64af12632f87" TargetMode="External"/><Relationship Id="rId31" Type="http://schemas.openxmlformats.org/officeDocument/2006/relationships/hyperlink" Target="https://uw.kuali.co/cm/#/courses/view/603d37a7b1e5a0002600cad4" TargetMode="External"/><Relationship Id="rId30" Type="http://schemas.openxmlformats.org/officeDocument/2006/relationships/hyperlink" Target="https://uw.kuali.co/cm/#/courses/view/61953b4043aad16165fd45b5" TargetMode="External"/><Relationship Id="rId11" Type="http://schemas.openxmlformats.org/officeDocument/2006/relationships/hyperlink" Target="https://uw.kuali.co/cm/#/courses/view/60c2487d2fc057ee9a77238e" TargetMode="External"/><Relationship Id="rId10" Type="http://schemas.openxmlformats.org/officeDocument/2006/relationships/hyperlink" Target="https://uw.kuali.co/cm/#/programs/view/6196ba09c6b841434dfa9e57" TargetMode="External"/><Relationship Id="rId13" Type="http://schemas.openxmlformats.org/officeDocument/2006/relationships/hyperlink" Target="https://uw.kuali.co/cm/#/courses/view/6197c7e0856a77ff8962b819" TargetMode="External"/><Relationship Id="rId12" Type="http://schemas.openxmlformats.org/officeDocument/2006/relationships/hyperlink" Target="https://uw.kuali.co/cm/#/courses/view/6197c46279b4e11f4289912e" TargetMode="External"/><Relationship Id="rId15" Type="http://schemas.openxmlformats.org/officeDocument/2006/relationships/hyperlink" Target="https://uw.kuali.co/cm/#/courses/view/6197d78848cf648574e9e11a" TargetMode="External"/><Relationship Id="rId14" Type="http://schemas.openxmlformats.org/officeDocument/2006/relationships/hyperlink" Target="https://uw.kuali.co/cm/#/courses/view/6197d5813016b7fdeb14d4fe" TargetMode="External"/><Relationship Id="rId17" Type="http://schemas.openxmlformats.org/officeDocument/2006/relationships/hyperlink" Target="https://uw.kuali.co/cm/#/courses/view/619574d290f663fa33b4ed2e" TargetMode="External"/><Relationship Id="rId16" Type="http://schemas.openxmlformats.org/officeDocument/2006/relationships/hyperlink" Target="https://uw.kuali.co/cm/#/courses/view/6193fa4b43aad1ef04fca559" TargetMode="External"/><Relationship Id="rId19" Type="http://schemas.openxmlformats.org/officeDocument/2006/relationships/hyperlink" Target="https://uw.kuali.co/cm/#/courses/view/619591b18cac500c5b83fe1a" TargetMode="External"/><Relationship Id="rId18" Type="http://schemas.openxmlformats.org/officeDocument/2006/relationships/hyperlink" Target="https://uw.kuali.co/cm/#/courses/view/61958ff574395d83c6953b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