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April 8, 2022, 1:00 p.m. - 3:00 p.m.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</w:t>
      </w:r>
      <w:r w:rsidDel="00000000" w:rsidR="00000000" w:rsidRPr="00000000">
        <w:rPr>
          <w:rtl w:val="0"/>
        </w:rPr>
        <w:t xml:space="preserve">989 9710 7431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1:00-1:05: Approval of Agenda/Meeting Minutes/Permission to record Zoom meeting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1:05-1:15: </w:t>
      </w:r>
      <w:r w:rsidDel="00000000" w:rsidR="00000000" w:rsidRPr="00000000">
        <w:rPr>
          <w:rtl w:val="0"/>
        </w:rPr>
        <w:t xml:space="preserve">Ground Rules</w:t>
      </w:r>
      <w:r w:rsidDel="00000000" w:rsidR="00000000" w:rsidRPr="00000000">
        <w:rPr>
          <w:rtl w:val="0"/>
        </w:rPr>
        <w:t xml:space="preserve">- Menaka Abraham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1:15-1:25: Updates from Chair Turan Kayaoglu and Vice Chair Menaka Abraham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1:25-1:45: Updates from Vice Chancellor for Finance &amp; Administration Vann Smiley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1:45-2:05: Updates from Chancellor Lange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2:05-2:15: Break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2:15-2:25:Resolution on March 11 Faculty Assembly Leadership Memo on Resignation of Past Chair- Mary Hanneman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2:25-2:40: Faculty Assembly &amp; Staff Association Combined COVID-19 Funds- Menaka Abraham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2:40-3:00: Amendments to bylaws on APT- Randy Nichols, Anne Taufen, Ellen Moore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