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March 9th 2022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Chair Julie Masura, Joan Bleecker, Laura Feuerborn, Jeff Cohen, Shahrokh Saudagaran, Susan Johnson, Ankur Suri, Tanya Velasquez,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Non-voting members: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Patrick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Pow (Information Technology)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Tammy Jez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Academic Affairs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Lorraine Dinnel (University Academic Advising),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Andrea Coker-Anderson (Registrar), Annie Downey (UWT Library), Jai’Shon Berry (ASUWT), Darcy Janzen (Office of Digital Learning)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Excused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Ur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ban Studies Representative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Absent: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Ali Modarres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(Interim EVCAA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Guests: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Ariana Ochoa Camacho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(Gender Studies)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rPr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Administrative Support: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Andrew J. Seibert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35" w:hanging="750"/>
        <w:rPr>
          <w:b w:val="1"/>
        </w:rPr>
      </w:pPr>
      <w:r w:rsidDel="00000000" w:rsidR="00000000" w:rsidRPr="00000000">
        <w:rPr>
          <w:b w:val="1"/>
          <w:rtl w:val="0"/>
        </w:rPr>
        <w:t xml:space="preserve">Recording Permission &amp; Land Acknowledgement</w:t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tabs>
          <w:tab w:val="center" w:pos="2853"/>
        </w:tabs>
        <w:spacing w:after="0" w:lineRule="auto"/>
        <w:ind w:left="735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Recording permission was granted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9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February 9th,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–03.09.2022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 Committee reviewed the minutes and did not have concerns regarding the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Motion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approve the minutes</w:t>
      </w:r>
      <w:r w:rsidDel="00000000" w:rsidR="00000000" w:rsidRPr="00000000">
        <w:rPr>
          <w:rtl w:val="0"/>
        </w:rPr>
        <w:t xml:space="preserve"> as written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was made by Laura Feuerborn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by </w:t>
      </w:r>
      <w:r w:rsidDel="00000000" w:rsidR="00000000" w:rsidRPr="00000000">
        <w:rPr>
          <w:rtl w:val="0"/>
        </w:rPr>
        <w:t xml:space="preserve">Ankur Suri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ASUWT Representative reported on the following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resolution was passed increasing hybrid options post-pandemic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ASUWT Representative will discuss with the Chair on bringing a Senator in this meeting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UWCC Updates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UWCC met in February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Reviewed 118 proposals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30 from UWT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All were approved pending updates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March meeting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165 proposals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9 from UWT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Other updates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No other updates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Modalities for Course Offerings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(Darcy Janzen)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person to be added for discussion for concerns of being forced to teach in modalities they were not familiar or did not want to teach in.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modalities to go live Autumn 2022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Vote for APCC Chair 2022-2023</w:t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Chair Julie Masura opened the nominations for 2022-2023 APCC Chair.</w:t>
      </w:r>
    </w:p>
    <w:p w:rsidR="00000000" w:rsidDel="00000000" w:rsidP="00000000" w:rsidRDefault="00000000" w:rsidRPr="00000000" w14:paraId="00000036">
      <w:pPr>
        <w:pageBreakBefore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Jeff Cohen nominated Julie Masura to serve as Chair of APCC in 2022-2023. Seconded by Ankur Suri</w:t>
      </w:r>
    </w:p>
    <w:p w:rsidR="00000000" w:rsidDel="00000000" w:rsidP="00000000" w:rsidRDefault="00000000" w:rsidRPr="00000000" w14:paraId="00000037">
      <w:pPr>
        <w:numPr>
          <w:ilvl w:val="3"/>
          <w:numId w:val="2"/>
        </w:numPr>
        <w:spacing w:after="0" w:lineRule="auto"/>
        <w:ind w:left="288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Hybrid/DL Policy Proposal Update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Director of Digital Learning Darcy Janzen met with Registrar Andrea Coker-Anderson in regards to</w:t>
      </w:r>
      <w:r w:rsidDel="00000000" w:rsidR="00000000" w:rsidRPr="00000000">
        <w:rPr>
          <w:rtl w:val="0"/>
        </w:rPr>
        <w:t xml:space="preserve"> keeping the old language and percentages. This will be shared with Executive Council and Faculty Assembly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(4)</w:t>
      </w:r>
    </w:p>
    <w:p w:rsidR="00000000" w:rsidDel="00000000" w:rsidP="00000000" w:rsidRDefault="00000000" w:rsidRPr="00000000" w14:paraId="0000003C">
      <w:pPr>
        <w:pageBreakBefore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tabs>
          <w:tab w:val="center" w:pos="2853"/>
        </w:tabs>
        <w:spacing w:after="0" w:line="240" w:lineRule="auto"/>
        <w:ind w:left="72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Gender and Sexuality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Adjust to cumulative 2.0 GPA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the Gender and Sexuality Studies program change pending the changes. Moved by Laura Feuerborn and seconded by Susan Johnson</w:t>
      </w:r>
    </w:p>
    <w:p w:rsidR="00000000" w:rsidDel="00000000" w:rsidP="00000000" w:rsidRDefault="00000000" w:rsidRPr="00000000" w14:paraId="00000040">
      <w:pPr>
        <w:numPr>
          <w:ilvl w:val="2"/>
          <w:numId w:val="10"/>
        </w:numPr>
        <w:spacing w:after="0" w:lineRule="auto"/>
        <w:ind w:left="216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tabs>
          <w:tab w:val="center" w:pos="2853"/>
        </w:tabs>
        <w:spacing w:after="0" w:line="240" w:lineRule="auto"/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American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tabs>
          <w:tab w:val="center" w:pos="2853"/>
        </w:tabs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Suspending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suspension of both the American Studies and Museum Studies program. Moved by Jeff Cohen and seconded by Ankur Suri</w:t>
      </w:r>
    </w:p>
    <w:p w:rsidR="00000000" w:rsidDel="00000000" w:rsidP="00000000" w:rsidRDefault="00000000" w:rsidRPr="00000000" w14:paraId="00000044">
      <w:pPr>
        <w:numPr>
          <w:ilvl w:val="2"/>
          <w:numId w:val="10"/>
        </w:numPr>
        <w:spacing w:after="0" w:lineRule="auto"/>
        <w:ind w:left="216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tabs>
          <w:tab w:val="center" w:pos="2853"/>
        </w:tabs>
        <w:spacing w:after="0" w:line="240" w:lineRule="auto"/>
        <w:ind w:left="72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Museum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tabs>
          <w:tab w:val="center" w:pos="2853"/>
        </w:tabs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Suspending</w:t>
      </w:r>
    </w:p>
    <w:p w:rsidR="00000000" w:rsidDel="00000000" w:rsidP="00000000" w:rsidRDefault="00000000" w:rsidRPr="00000000" w14:paraId="00000047">
      <w:pPr>
        <w:numPr>
          <w:ilvl w:val="1"/>
          <w:numId w:val="10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A motion was made to approve suspension of both the American Studies and Museum Studies program. Moved by Jeff Cohen and seconded by Ankur Suri</w:t>
      </w:r>
    </w:p>
    <w:p w:rsidR="00000000" w:rsidDel="00000000" w:rsidP="00000000" w:rsidRDefault="00000000" w:rsidRPr="00000000" w14:paraId="00000048">
      <w:pPr>
        <w:numPr>
          <w:ilvl w:val="2"/>
          <w:numId w:val="10"/>
        </w:numPr>
        <w:spacing w:after="0" w:lineRule="auto"/>
        <w:ind w:left="2160" w:hanging="360"/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8 yes, 0 no, 0 abstentions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tabs>
          <w:tab w:val="center" w:pos="2853"/>
        </w:tabs>
        <w:spacing w:after="0" w:line="240" w:lineRule="auto"/>
        <w:ind w:left="720" w:hanging="360"/>
        <w:rPr>
          <w:strike w:val="1"/>
        </w:rPr>
      </w:pPr>
      <w:hyperlink r:id="rId10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Nonprofit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tabs>
          <w:tab w:val="center" w:pos="2853"/>
        </w:tabs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Suspending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tabs>
          <w:tab w:val="center" w:pos="2853"/>
        </w:tabs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NOP Missing. This was sent back and not reviewed</w:t>
      </w:r>
    </w:p>
    <w:p w:rsidR="00000000" w:rsidDel="00000000" w:rsidP="00000000" w:rsidRDefault="00000000" w:rsidRPr="00000000" w14:paraId="0000004C">
      <w:pPr>
        <w:numPr>
          <w:ilvl w:val="2"/>
          <w:numId w:val="10"/>
        </w:numPr>
        <w:tabs>
          <w:tab w:val="center" w:pos="2853"/>
        </w:tabs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Missing signatures from form, will be reviewed by APCC Chair and SIAS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(13)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trike w:val="1"/>
        </w:rPr>
      </w:pPr>
      <w:hyperlink r:id="rId11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Removed from review due to request to revise Learning objectives</w:t>
      </w:r>
    </w:p>
    <w:p w:rsidR="00000000" w:rsidDel="00000000" w:rsidP="00000000" w:rsidRDefault="00000000" w:rsidRPr="00000000" w14:paraId="00000053">
      <w:pPr>
        <w:pageBreakBefore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suggestion to make course Credit/No Credit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TSPSY 554: Trauma-Informed Crisis Prevention and Response in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TSPSY 560: Practicum and Reflective Seminar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TEDUC 448: Classroom Management with Empathy, Equity and Justice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TWRT 340: Asian American Rhetorics, Literacies, and Activism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Missing Director/Dean signature on Diversity Designation form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TWRT 420: City as/of Rhetoric: Reading &amp; Composing Urban Landscapes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Revise error in Course description</w:t>
      </w:r>
    </w:p>
    <w:p w:rsidR="00000000" w:rsidDel="00000000" w:rsidP="00000000" w:rsidRDefault="00000000" w:rsidRPr="00000000" w14:paraId="0000005B">
      <w:pPr>
        <w:numPr>
          <w:ilvl w:val="2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Cites (Cities)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Urban Studies review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TWRT 492: Special Topics</w:t>
        </w:r>
      </w:hyperlink>
      <w:r w:rsidDel="00000000" w:rsidR="00000000" w:rsidRPr="00000000">
        <w:rPr>
          <w:rtl w:val="0"/>
        </w:rPr>
        <w:t xml:space="preserve"> (Title changed previous to this meeting)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TPSYCH 461: Asian American 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 removing “and so on”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Director/Dean signature on Diversity Designation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T SOC 465: Asian/Asian American Laborers in the U.S.: Citizenship, Immigrant Rights and the Welfare State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slash in title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Director/Dean signature on Diversity Designation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T FILM 489: Screendance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Race and ethnicity in both course description and learning objectives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 EGL 310: Intersectional Feminisms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Typo in learning objectives and syllabus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Director/Dean signature on Diversity Designation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  <w:rPr>
          <w:strike w:val="1"/>
        </w:rPr>
      </w:pPr>
      <w:hyperlink r:id="rId22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T ACCT 475: Introduction to Accounting Analytics and Enterprise Resource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tabs>
          <w:tab w:val="center" w:pos="2853"/>
        </w:tabs>
        <w:spacing w:after="0" w:lineRule="auto"/>
        <w:ind w:left="72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 ACCT 532: Leadership and Professional Communication for Accountants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Grammatical typo in course description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Spell out acronym Diversity, Equity, and Inclusion in Learning Objective</w:t>
      </w:r>
    </w:p>
    <w:p w:rsidR="00000000" w:rsidDel="00000000" w:rsidP="00000000" w:rsidRDefault="00000000" w:rsidRPr="00000000" w14:paraId="0000006D">
      <w:pPr>
        <w:numPr>
          <w:ilvl w:val="1"/>
          <w:numId w:val="3"/>
        </w:numPr>
        <w:tabs>
          <w:tab w:val="center" w:pos="2853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new courses pending suggested changes by Jeff Cohen and seconded by Laura Feuerborn</w:t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tabs>
          <w:tab w:val="center" w:pos="2853"/>
        </w:tabs>
        <w:spacing w:after="0" w:lineRule="auto"/>
        <w:ind w:left="2160" w:hanging="360"/>
        <w:rPr>
          <w:u w:val="none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7 yes, 0 no, 0 abstention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pageBreakBefore w:val="0"/>
        <w:numPr>
          <w:ilvl w:val="0"/>
          <w:numId w:val="9"/>
        </w:numPr>
        <w:tabs>
          <w:tab w:val="center" w:pos="2040"/>
        </w:tabs>
        <w:spacing w:line="240" w:lineRule="auto"/>
        <w:ind w:left="720" w:hanging="72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Course Change Proposals</w:t>
      </w:r>
      <w:r w:rsidDel="00000000" w:rsidR="00000000" w:rsidRPr="00000000">
        <w:rPr>
          <w:rtl w:val="0"/>
        </w:rPr>
        <w:t xml:space="preserve"> (14)</w:t>
      </w:r>
    </w:p>
    <w:p w:rsidR="00000000" w:rsidDel="00000000" w:rsidP="00000000" w:rsidRDefault="00000000" w:rsidRPr="00000000" w14:paraId="00000071">
      <w:pPr>
        <w:tabs>
          <w:tab w:val="center" w:pos="20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6"/>
        </w:numPr>
        <w:tabs>
          <w:tab w:val="center" w:pos="2040"/>
        </w:tabs>
        <w:spacing w:after="0" w:lineRule="auto"/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TEDLD 573: Critical Pedagogies and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74">
      <w:pPr>
        <w:pageBreakBefore w:val="0"/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TEDLD 574: De-Colonizing Writing and Oral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TEDLD 587: Disrupt and Dismantling Current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TEDLD 588: Relational Learning and Healing in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TEDLD 589: Leadership for Healing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TEDLD 591: Leading Professional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TEDLD 602: Community Grounded Praxis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TEDLD 801: Dissertation in Practice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89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TEDLD 802: Dissertation in Practice Seminar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Syllabus</w:t>
      </w:r>
    </w:p>
    <w:p w:rsidR="00000000" w:rsidDel="00000000" w:rsidP="00000000" w:rsidRDefault="00000000" w:rsidRPr="00000000" w14:paraId="0000008C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TME 403: Engineering Economics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TEDUC 540: Multitiered Systems of Prevention and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6"/>
        </w:numPr>
        <w:tabs>
          <w:tab w:val="center" w:pos="2040"/>
        </w:tabs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Missing Acknowledgment of Responsibility</w:t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TEE 463: Systems Science and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TCES 491: Digital Signal Processing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  <w:rPr>
          <w:strike w:val="1"/>
        </w:rPr>
      </w:pPr>
      <w:hyperlink r:id="rId37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TEDSP 547: Special Education and the Law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tabs>
          <w:tab w:val="center" w:pos="2853"/>
        </w:tabs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motion was made to approve the course change proposals pending suggestions from the committee by Susan Johnson and seconded by Laura Feuerborn.</w:t>
      </w:r>
    </w:p>
    <w:p w:rsidR="00000000" w:rsidDel="00000000" w:rsidP="00000000" w:rsidRDefault="00000000" w:rsidRPr="00000000" w14:paraId="00000094">
      <w:pPr>
        <w:pageBreakBefore w:val="0"/>
        <w:numPr>
          <w:ilvl w:val="1"/>
          <w:numId w:val="8"/>
        </w:numPr>
        <w:spacing w:after="3" w:lineRule="auto"/>
        <w:ind w:left="21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color w:val="ff0000"/>
          <w:u w:val="single"/>
          <w:rtl w:val="0"/>
        </w:rPr>
        <w:t xml:space="preserve">Votes:</w:t>
      </w:r>
      <w:r w:rsidDel="00000000" w:rsidR="00000000" w:rsidRPr="00000000">
        <w:rPr>
          <w:i w:val="1"/>
          <w:rtl w:val="0"/>
        </w:rPr>
        <w:t xml:space="preserve"> 5 yes, 0 no, 1 abstention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pageBreakBefore w:val="0"/>
        <w:tabs>
          <w:tab w:val="center" w:pos="2040"/>
        </w:tabs>
        <w:spacing w:line="24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after="3" w:lineRule="auto"/>
        <w:ind w:left="720" w:firstLine="0"/>
        <w:rPr/>
      </w:pPr>
      <w:r w:rsidDel="00000000" w:rsidR="00000000" w:rsidRPr="00000000">
        <w:rPr>
          <w:rtl w:val="0"/>
        </w:rPr>
        <w:t xml:space="preserve">APCC reviewed one Student Petition during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720" w:right="0" w:hanging="72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was adjourned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will be 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12:30-2:00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35" w:hanging="750"/>
      </w:pPr>
      <w:rPr/>
    </w:lvl>
    <w:lvl w:ilvl="1">
      <w:start w:val="1"/>
      <w:numFmt w:val="lowerLetter"/>
      <w:lvlText w:val="%2."/>
      <w:lvlJc w:val="left"/>
      <w:pPr>
        <w:ind w:left="1065" w:hanging="360"/>
      </w:pPr>
      <w:rPr/>
    </w:lvl>
    <w:lvl w:ilvl="2">
      <w:start w:val="1"/>
      <w:numFmt w:val="lowerRoman"/>
      <w:lvlText w:val="%3."/>
      <w:lvlJc w:val="right"/>
      <w:pPr>
        <w:ind w:left="1785" w:hanging="180"/>
      </w:pPr>
      <w:rPr/>
    </w:lvl>
    <w:lvl w:ilvl="3">
      <w:start w:val="1"/>
      <w:numFmt w:val="decimal"/>
      <w:lvlText w:val="%4."/>
      <w:lvlJc w:val="left"/>
      <w:pPr>
        <w:ind w:left="2505" w:hanging="360"/>
      </w:pPr>
      <w:rPr/>
    </w:lvl>
    <w:lvl w:ilvl="4">
      <w:start w:val="1"/>
      <w:numFmt w:val="lowerLetter"/>
      <w:lvlText w:val="%5."/>
      <w:lvlJc w:val="left"/>
      <w:pPr>
        <w:ind w:left="3225" w:hanging="360"/>
      </w:pPr>
      <w:rPr/>
    </w:lvl>
    <w:lvl w:ilvl="5">
      <w:start w:val="1"/>
      <w:numFmt w:val="lowerRoman"/>
      <w:lvlText w:val="%6."/>
      <w:lvlJc w:val="right"/>
      <w:pPr>
        <w:ind w:left="3945" w:hanging="180"/>
      </w:pPr>
      <w:rPr/>
    </w:lvl>
    <w:lvl w:ilvl="6">
      <w:start w:val="1"/>
      <w:numFmt w:val="decimal"/>
      <w:lvlText w:val="%7."/>
      <w:lvlJc w:val="left"/>
      <w:pPr>
        <w:ind w:left="4665" w:hanging="360"/>
      </w:pPr>
      <w:rPr/>
    </w:lvl>
    <w:lvl w:ilvl="7">
      <w:start w:val="1"/>
      <w:numFmt w:val="lowerLetter"/>
      <w:lvlText w:val="%8."/>
      <w:lvlJc w:val="left"/>
      <w:pPr>
        <w:ind w:left="5385" w:hanging="360"/>
      </w:pPr>
      <w:rPr/>
    </w:lvl>
    <w:lvl w:ilvl="8">
      <w:start w:val="1"/>
      <w:numFmt w:val="lowerRoman"/>
      <w:lvlText w:val="%9."/>
      <w:lvlJc w:val="right"/>
      <w:pPr>
        <w:ind w:left="6105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cs="Times New Roman" w:eastAsia="Times New Roman" w:hAnsi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uw.kuali.co/cm/#/courses/view/6179b74c60007caeeda00fd6" TargetMode="External"/><Relationship Id="rId22" Type="http://schemas.openxmlformats.org/officeDocument/2006/relationships/hyperlink" Target="https://uw.kuali.co/cm/#/courses/view/6181506bc99b711d7d6f10e8" TargetMode="External"/><Relationship Id="rId21" Type="http://schemas.openxmlformats.org/officeDocument/2006/relationships/hyperlink" Target="https://uw.kuali.co/cm/#/courses/view/61a7f25f356c50161e3273b3" TargetMode="External"/><Relationship Id="rId24" Type="http://schemas.openxmlformats.org/officeDocument/2006/relationships/hyperlink" Target="https://uw.kuali.co/cm/#/courses/view/61df535680fcdb4b10b84cdb" TargetMode="External"/><Relationship Id="rId23" Type="http://schemas.openxmlformats.org/officeDocument/2006/relationships/hyperlink" Target="https://uw.kuali.co/cm/#/courses/view/61afadc018087685dea307c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programs/view/61e9a4683e0cba51388bbae8" TargetMode="External"/><Relationship Id="rId26" Type="http://schemas.openxmlformats.org/officeDocument/2006/relationships/hyperlink" Target="https://uw.kuali.co/cm/#/courses/view/61df5a10e571eb5b15b067ba" TargetMode="External"/><Relationship Id="rId25" Type="http://schemas.openxmlformats.org/officeDocument/2006/relationships/hyperlink" Target="https://uw.kuali.co/cm/#/courses/view/61df595080fcdb5bdbb84d20" TargetMode="External"/><Relationship Id="rId28" Type="http://schemas.openxmlformats.org/officeDocument/2006/relationships/hyperlink" Target="https://uw.kuali.co/cm/#/courses/view/61df61d5f2c926be71af2d41" TargetMode="External"/><Relationship Id="rId27" Type="http://schemas.openxmlformats.org/officeDocument/2006/relationships/hyperlink" Target="https://uw.kuali.co/cm/#/courses/view/61df5af2e571eb03ceb067c4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uw.kuali.co/cm/#/courses/view/61df4aa286d1082a5436d185" TargetMode="External"/><Relationship Id="rId7" Type="http://schemas.openxmlformats.org/officeDocument/2006/relationships/hyperlink" Target="https://uw.kuali.co/cm/#/programs/view/61c35f0fd7425724137949e0" TargetMode="External"/><Relationship Id="rId8" Type="http://schemas.openxmlformats.org/officeDocument/2006/relationships/hyperlink" Target="https://uw.kuali.co/cm/#/programs/view/61e74dc1957762408c071925" TargetMode="External"/><Relationship Id="rId31" Type="http://schemas.openxmlformats.org/officeDocument/2006/relationships/hyperlink" Target="https://uw.kuali.co/cm/#/courses/view/61df65fd1e01d9805f259f9c" TargetMode="External"/><Relationship Id="rId30" Type="http://schemas.openxmlformats.org/officeDocument/2006/relationships/hyperlink" Target="https://uw.kuali.co/cm/#/courses/view/61df62a4560b8d1799b18b39" TargetMode="External"/><Relationship Id="rId11" Type="http://schemas.openxmlformats.org/officeDocument/2006/relationships/hyperlink" Target="https://uw.kuali.co/cm/#/courses/view/61e85dceabff0759db908896" TargetMode="External"/><Relationship Id="rId33" Type="http://schemas.openxmlformats.org/officeDocument/2006/relationships/hyperlink" Target="https://uw.kuali.co/cm/#/courses/view/61c35af7785367a4f44fcecd" TargetMode="External"/><Relationship Id="rId10" Type="http://schemas.openxmlformats.org/officeDocument/2006/relationships/hyperlink" Target="https://uw.kuali.co/cm/#/programs/view/61e9a55d434a9453cfd9aea2" TargetMode="External"/><Relationship Id="rId32" Type="http://schemas.openxmlformats.org/officeDocument/2006/relationships/hyperlink" Target="https://uw.kuali.co/cm/#/courses/view/61df666dfcd3df6973aaa618" TargetMode="External"/><Relationship Id="rId13" Type="http://schemas.openxmlformats.org/officeDocument/2006/relationships/hyperlink" Target="https://uw.kuali.co/cm/#/courses/view/61f1a574800a0c686fa914ef" TargetMode="External"/><Relationship Id="rId35" Type="http://schemas.openxmlformats.org/officeDocument/2006/relationships/hyperlink" Target="https://uw.kuali.co/cm/#/courses/view/6216abafe55c94e1ce085b3c" TargetMode="External"/><Relationship Id="rId12" Type="http://schemas.openxmlformats.org/officeDocument/2006/relationships/hyperlink" Target="https://uw.kuali.co/cm/#/courses/view/61f1c881b380271f70977106" TargetMode="External"/><Relationship Id="rId34" Type="http://schemas.openxmlformats.org/officeDocument/2006/relationships/hyperlink" Target="https://uw.kuali.co/cm/#/courses/view/61f1bee2426a1d3aa0eb1491" TargetMode="External"/><Relationship Id="rId15" Type="http://schemas.openxmlformats.org/officeDocument/2006/relationships/hyperlink" Target="https://uw.kuali.co/cm/#/courses/view/61aa9d3414b25e626d792812" TargetMode="External"/><Relationship Id="rId37" Type="http://schemas.openxmlformats.org/officeDocument/2006/relationships/hyperlink" Target="https://uw.kuali.co/cm/#/courses/view/6192c44c0f0adc4d815b10c4" TargetMode="External"/><Relationship Id="rId14" Type="http://schemas.openxmlformats.org/officeDocument/2006/relationships/hyperlink" Target="https://uw.kuali.co/cm/#/courses/view/61f440a0f337724bf634c474" TargetMode="External"/><Relationship Id="rId36" Type="http://schemas.openxmlformats.org/officeDocument/2006/relationships/hyperlink" Target="https://uw.kuali.co/cm/#/courses/view/6216b25a2271aa08c6bb44ef" TargetMode="External"/><Relationship Id="rId17" Type="http://schemas.openxmlformats.org/officeDocument/2006/relationships/hyperlink" Target="https://uw.kuali.co/cm/#/courses/view/61aea5faa3d5bba189e4332b" TargetMode="External"/><Relationship Id="rId16" Type="http://schemas.openxmlformats.org/officeDocument/2006/relationships/hyperlink" Target="https://uw.kuali.co/cm/#/courses/view/61f94c071876574f99de45d2" TargetMode="External"/><Relationship Id="rId19" Type="http://schemas.openxmlformats.org/officeDocument/2006/relationships/hyperlink" Target="https://uw.kuali.co/cm/#/courses/view/61b2612bda5463a21411cc16" TargetMode="External"/><Relationship Id="rId18" Type="http://schemas.openxmlformats.org/officeDocument/2006/relationships/hyperlink" Target="https://uw.kuali.co/cm/#/courses/view/6194262543aad1b193fca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