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13,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 Julie Masura, Joan Bleecker, Matthew Weinstein (Delegate for Laura Feuerborn), Jeff Cohen, Shahrokh Saudagaran, Susan Johnson, Ankur Suri, Tanya Velasquez,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Annie Downey (UWT Library), Darcy Janzen (Digital 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 Studies Representative (See minutes),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Patrick Pow (Information Technology),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Jai’Shon Berry (ASUWT)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Ali Modarres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(Interim 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Erik Tou (School of Interdisciplinary Arts &amp; Sciences), Heather Dillon (School of Engineering &amp; Technology), Hyoung Lee (School of Interdisciplinary Arts &amp; Sciences), Ariana Ochoa Camacho (School of Interdisciplinary Arts &amp; Sciences)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J.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35" w:hanging="75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F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Agenda was given consent and recording permissions were granted by the committee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9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March 9,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–04.13.2022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 Committee reviewed the minutes and did not have concerns regarding the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 </w:t>
      </w:r>
      <w:r w:rsidDel="00000000" w:rsidR="00000000" w:rsidRPr="00000000">
        <w:rPr>
          <w:rtl w:val="0"/>
        </w:rPr>
        <w:t xml:space="preserve">Joan Bleecer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Susan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ASUWT representative was absent, however the APCC chair is working with Faculty Assembly and ASUWT to staff a representative in his absence in the future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March 2022 meeting</w:t>
      </w:r>
    </w:p>
    <w:p w:rsidR="00000000" w:rsidDel="00000000" w:rsidP="00000000" w:rsidRDefault="00000000" w:rsidRPr="00000000" w14:paraId="00000020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165 Proposals were reviewed by UWCC</w:t>
      </w:r>
    </w:p>
    <w:p w:rsidR="00000000" w:rsidDel="00000000" w:rsidP="00000000" w:rsidRDefault="00000000" w:rsidRPr="00000000" w14:paraId="00000021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9 from UWT</w:t>
      </w:r>
    </w:p>
    <w:p w:rsidR="00000000" w:rsidDel="00000000" w:rsidP="00000000" w:rsidRDefault="00000000" w:rsidRPr="00000000" w14:paraId="00000022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were approved pending updates and requests from UWCC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April 2022 meeting</w:t>
      </w:r>
    </w:p>
    <w:p w:rsidR="00000000" w:rsidDel="00000000" w:rsidP="00000000" w:rsidRDefault="00000000" w:rsidRPr="00000000" w14:paraId="00000024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162 proposals to be reviewed by UWCC</w:t>
      </w:r>
    </w:p>
    <w:p w:rsidR="00000000" w:rsidDel="00000000" w:rsidP="00000000" w:rsidRDefault="00000000" w:rsidRPr="00000000" w14:paraId="00000025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24 from UWT</w:t>
      </w:r>
    </w:p>
    <w:p w:rsidR="00000000" w:rsidDel="00000000" w:rsidP="00000000" w:rsidRDefault="00000000" w:rsidRPr="00000000" w14:paraId="00000026">
      <w:pPr>
        <w:numPr>
          <w:ilvl w:val="4"/>
          <w:numId w:val="8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From Education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As a committee, APCC has decided to start meetings at 12:40 p.m. instead of 12:30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Hybrid DL Policy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Hybrid/DL Policy has been drastically changed through the Executive Council. Albeit revised, this policy was approved by the Executive Council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Emergency Resolution on Modalities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APCC Chair notified the committee of the Emergency Resolution that was passed and its location on the Faculty Assembly website. You can find it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Darcy Janzen had mentioned that the approval was very quick, and was to be lifted to do a one course pilot to gather data.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Resolution to have Chair approve English Credits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APCC Chair has requested to be the main reviewer of the Student Petitions requiring English credits.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Representatives have asked if there were any drastic requests to have them go through APCC, but otherwise representatives approved this request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support the chair approving the English credits. So moved by Matthew Weinstein and seconded by Tanya Velasquez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DRAFT APCC Dates 2022-23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Faculty Assembly Program Coordinator and APCC Chair have drafted the APCC Dates for 2022-23 Academic Year in conjunction with the UWCC Deadlines and meetings. APCC Representatives saw no issues or concerns with the draft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</w:t>
      </w:r>
    </w:p>
    <w:p w:rsidR="00000000" w:rsidDel="00000000" w:rsidP="00000000" w:rsidRDefault="00000000" w:rsidRPr="00000000" w14:paraId="0000003E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Mathematics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Further discussion was made. One noted difference was the difference between GPA and course requirements between the Tacoma and Seattle Campus.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Mathematics Major as is on UWCM. Moved by Susan Johnson and seconded by Joan Bleecker</w:t>
      </w:r>
    </w:p>
    <w:p w:rsidR="00000000" w:rsidDel="00000000" w:rsidP="00000000" w:rsidRDefault="00000000" w:rsidRPr="00000000" w14:paraId="00000042">
      <w:pPr>
        <w:numPr>
          <w:ilvl w:val="2"/>
          <w:numId w:val="10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1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APCC had no suggestions or additions to this program change proposal.</w:t>
      </w:r>
    </w:p>
    <w:p w:rsidR="00000000" w:rsidDel="00000000" w:rsidP="00000000" w:rsidRDefault="00000000" w:rsidRPr="00000000" w14:paraId="00000045">
      <w:pPr>
        <w:numPr>
          <w:ilvl w:val="1"/>
          <w:numId w:val="10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Psychology Major as is on UWCM. So by Ankur Suri and seconded by Jeff Cohen</w:t>
      </w:r>
    </w:p>
    <w:p w:rsidR="00000000" w:rsidDel="00000000" w:rsidP="00000000" w:rsidRDefault="00000000" w:rsidRPr="00000000" w14:paraId="00000046">
      <w:pPr>
        <w:numPr>
          <w:ilvl w:val="2"/>
          <w:numId w:val="10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 Urban Studies: Geographic Information Systems and Spatial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0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APCC had discussion, and came up with one suggestion below. This suggestion will be suggested to constituents and will not be reviewed by the Committee</w:t>
      </w:r>
    </w:p>
    <w:p w:rsidR="00000000" w:rsidDel="00000000" w:rsidP="00000000" w:rsidRDefault="00000000" w:rsidRPr="00000000" w14:paraId="00000049">
      <w:pPr>
        <w:numPr>
          <w:ilvl w:val="2"/>
          <w:numId w:val="10"/>
        </w:numPr>
        <w:tabs>
          <w:tab w:val="center" w:pos="2853"/>
        </w:tabs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application and use declare as best terminology. 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BA in Geographic Information Systems and Spatial Planning pending the suggested changes by Jeff Cohen and seconded by Matthew Weinstein</w:t>
      </w:r>
    </w:p>
    <w:p w:rsidR="00000000" w:rsidDel="00000000" w:rsidP="00000000" w:rsidRDefault="00000000" w:rsidRPr="00000000" w14:paraId="0000004B">
      <w:pPr>
        <w:numPr>
          <w:ilvl w:val="2"/>
          <w:numId w:val="10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Upon discussion, APCC had no suggestions or additions to this program change proposal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Mechanical Engineering pending the format changes by Matthew Weinstein and seconded by Joan Bleecker</w:t>
      </w:r>
    </w:p>
    <w:p w:rsidR="00000000" w:rsidDel="00000000" w:rsidP="00000000" w:rsidRDefault="00000000" w:rsidRPr="00000000" w14:paraId="0000004F">
      <w:pPr>
        <w:numPr>
          <w:ilvl w:val="2"/>
          <w:numId w:val="10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NonProfit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Program will be suspended due to low Faculty support on the curriculum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Nonprofit Minor pending the format changes by Joan Bleecker and seconded by Ankur Suri</w:t>
      </w:r>
    </w:p>
    <w:p w:rsidR="00000000" w:rsidDel="00000000" w:rsidP="00000000" w:rsidRDefault="00000000" w:rsidRPr="00000000" w14:paraId="00000053">
      <w:pPr>
        <w:numPr>
          <w:ilvl w:val="2"/>
          <w:numId w:val="10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1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="240" w:lineRule="auto"/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Learning Objectives still confusing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Determine whether credit/no credit or letter grade. Edit syllabus</w:t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line="24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TME 391: Undergraduate Seminar in 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grading on attendance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This will be sent back to the APCC Chair when reviewed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240" w:lineRule="auto"/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TME 402: Fundamentals of Engineering Exam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typo in evaluation course (Should be a 1 credit course)</w:t>
      </w:r>
    </w:p>
    <w:p w:rsidR="00000000" w:rsidDel="00000000" w:rsidP="00000000" w:rsidRDefault="00000000" w:rsidRPr="00000000" w14:paraId="00000061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has been resolved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line="240" w:lineRule="auto"/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TECE 701: Internship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 registration language for conditions for registering </w:t>
      </w:r>
    </w:p>
    <w:p w:rsidR="00000000" w:rsidDel="00000000" w:rsidP="00000000" w:rsidRDefault="00000000" w:rsidRPr="00000000" w14:paraId="00000064">
      <w:pPr>
        <w:numPr>
          <w:ilvl w:val="2"/>
          <w:numId w:val="7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Sending add code</w:t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Add language on what the sponsor evaluation is in syllabus</w:t>
      </w:r>
    </w:p>
    <w:p w:rsidR="00000000" w:rsidDel="00000000" w:rsidP="00000000" w:rsidRDefault="00000000" w:rsidRPr="00000000" w14:paraId="00000066">
      <w:pPr>
        <w:numPr>
          <w:ilvl w:val="1"/>
          <w:numId w:val="7"/>
        </w:numPr>
        <w:spacing w:after="0" w:line="240" w:lineRule="auto"/>
        <w:ind w:left="1440" w:hanging="360"/>
      </w:pPr>
      <w:r w:rsidDel="00000000" w:rsidR="00000000" w:rsidRPr="00000000">
        <w:rPr>
          <w:highlight w:val="yellow"/>
          <w:rtl w:val="0"/>
        </w:rPr>
        <w:t xml:space="preserve">This will be sent back to the APCC Chair when reviewed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motion was made to approve T INFO 411 and TME 402 pending suggestions from APCC. So moved by Jeff Cohen, and seconded by Joan Bleecker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pageBreakBefore w:val="0"/>
        <w:numPr>
          <w:ilvl w:val="0"/>
          <w:numId w:val="9"/>
        </w:numPr>
        <w:tabs>
          <w:tab w:val="center" w:pos="2040"/>
        </w:tabs>
        <w:spacing w:line="240" w:lineRule="auto"/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pageBreakBefore w:val="0"/>
        <w:tabs>
          <w:tab w:val="center" w:pos="2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EGL 380: Gender Sexuality Across Culture and Historical Contexts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revise typo in Learning Objective 5 in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TME 433: Heat Transfer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Incorrect credit hours in UWCM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TME 435: Thermal System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Incorrect credit hours in UWCM.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T EGL 380 pending typo corrections by Ankur Suri and seconded by Jeff Cohen.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1 abstention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pageBreakBefore w:val="0"/>
        <w:tabs>
          <w:tab w:val="center" w:pos="204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4"/>
        </w:numPr>
        <w:spacing w:after="3" w:lineRule="auto"/>
        <w:ind w:left="720" w:hanging="360"/>
        <w:rPr/>
      </w:pPr>
      <w:r w:rsidDel="00000000" w:rsidR="00000000" w:rsidRPr="00000000">
        <w:rPr>
          <w:rtl w:val="0"/>
        </w:rPr>
        <w:t xml:space="preserve">APCC Reviewed one student petition during the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21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35" w:hanging="750"/>
      </w:pPr>
      <w:rPr/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programs/view/6243284f47a9665fbe6f58f0" TargetMode="External"/><Relationship Id="rId10" Type="http://schemas.openxmlformats.org/officeDocument/2006/relationships/hyperlink" Target="https://uw.kuali.co/cm/#/specializations/view/62324431d3cf5a7d1e6c4c9d" TargetMode="External"/><Relationship Id="rId13" Type="http://schemas.openxmlformats.org/officeDocument/2006/relationships/hyperlink" Target="https://uw.kuali.co/cm/#/courses/view/61e85dceabff0759db908896" TargetMode="External"/><Relationship Id="rId12" Type="http://schemas.openxmlformats.org/officeDocument/2006/relationships/hyperlink" Target="https://uw.kuali.co/cm/#/programs/view/61e9a55d434a9453cfd9aea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226398bf1c243cadfe0016e" TargetMode="External"/><Relationship Id="rId15" Type="http://schemas.openxmlformats.org/officeDocument/2006/relationships/hyperlink" Target="https://uw.kuali.co/cm/#/courses/view/6242283fa184285765adc976" TargetMode="External"/><Relationship Id="rId14" Type="http://schemas.openxmlformats.org/officeDocument/2006/relationships/hyperlink" Target="https://uw.kuali.co/cm/#/courses/view/624312f9a18428a958b061ea" TargetMode="External"/><Relationship Id="rId17" Type="http://schemas.openxmlformats.org/officeDocument/2006/relationships/hyperlink" Target="https://uw.kuali.co/cm/#/courses/view/621d75c4fe3d7f2059ddf6e6" TargetMode="External"/><Relationship Id="rId16" Type="http://schemas.openxmlformats.org/officeDocument/2006/relationships/hyperlink" Target="https://uw.kuali.co/cm/#/courses/view/624352750f96718f5835d60b" TargetMode="External"/><Relationship Id="rId5" Type="http://schemas.openxmlformats.org/officeDocument/2006/relationships/styles" Target="styles.xml"/><Relationship Id="rId19" Type="http://schemas.openxmlformats.org/officeDocument/2006/relationships/hyperlink" Target="https://uw.kuali.co/cm/#/courses/view/6242216e32f0522c5c528861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uw.kuali.co/cm/#/courses/view/62421e79bde3232b46183c35" TargetMode="External"/><Relationship Id="rId7" Type="http://schemas.openxmlformats.org/officeDocument/2006/relationships/hyperlink" Target="https://www.tacoma.uw.edu/faculty-assembly/policy-and-reference-documents" TargetMode="External"/><Relationship Id="rId8" Type="http://schemas.openxmlformats.org/officeDocument/2006/relationships/hyperlink" Target="https://uw.kuali.co/cm/#/programs/view/6196e640297b86ed0202eb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