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2A76" w14:textId="77777777" w:rsidR="00633664" w:rsidRDefault="002359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710AA211" wp14:editId="3FF84DA7">
            <wp:extent cx="3140934" cy="3911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0934" cy="391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D5DB91" w14:textId="463C58B9" w:rsidR="00633664" w:rsidRDefault="2C86F78A" w:rsidP="291A2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71" w:lineRule="auto"/>
        <w:ind w:left="761" w:right="640"/>
        <w:jc w:val="center"/>
        <w:rPr>
          <w:rFonts w:ascii="Open Sans" w:eastAsia="Open Sans" w:hAnsi="Open Sans" w:cs="Open Sans"/>
          <w:b/>
          <w:bCs/>
          <w:color w:val="000000"/>
          <w:sz w:val="20"/>
          <w:szCs w:val="20"/>
        </w:rPr>
      </w:pPr>
      <w:r w:rsidRPr="291A22E6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  <w:t xml:space="preserve">Tuition-Exemption Policy for Eligible Washington State </w:t>
      </w:r>
      <w:r w:rsidR="25E4736B" w:rsidRPr="291A22E6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  <w:t>Employees</w:t>
      </w:r>
      <w:r w:rsidR="25E4736B" w:rsidRPr="291A22E6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25E4736B" w:rsidRPr="291A22E6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  <w:t>Updated</w:t>
      </w:r>
      <w:r w:rsidRPr="291A22E6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: </w:t>
      </w:r>
      <w:r w:rsidR="4F164615" w:rsidRPr="291A22E6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  <w:t>April 24, 2025</w:t>
      </w:r>
      <w:r w:rsidRPr="291A22E6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  <w:t xml:space="preserve"> </w:t>
      </w:r>
    </w:p>
    <w:p w14:paraId="66551653" w14:textId="40F75B9A" w:rsidR="00633664" w:rsidRDefault="2C86F78A" w:rsidP="3A78B6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40" w:lineRule="auto"/>
        <w:rPr>
          <w:rFonts w:ascii="Open Sans" w:eastAsia="Open Sans" w:hAnsi="Open Sans" w:cs="Open Sans"/>
          <w:b/>
          <w:bCs/>
          <w:color w:val="000000"/>
          <w:sz w:val="20"/>
          <w:szCs w:val="20"/>
        </w:rPr>
      </w:pPr>
      <w:r w:rsidRPr="3A78B60B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  <w:u w:val="single"/>
        </w:rPr>
        <w:t xml:space="preserve">OVERVIEW </w:t>
      </w:r>
    </w:p>
    <w:p w14:paraId="69466762" w14:textId="61C38E03" w:rsidR="00633664" w:rsidRDefault="002359C4" w:rsidP="7D0CDD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70" w:lineRule="auto"/>
        <w:ind w:left="8" w:right="617" w:hanging="6"/>
        <w:rPr>
          <w:rFonts w:ascii="Open Sans" w:eastAsia="Open Sans" w:hAnsi="Open Sans" w:cs="Open Sans"/>
          <w:color w:val="000000"/>
          <w:sz w:val="20"/>
          <w:szCs w:val="20"/>
        </w:rPr>
      </w:pPr>
      <w:r w:rsidRPr="7D0CDD8C">
        <w:rPr>
          <w:rFonts w:ascii="Open Sans" w:eastAsia="Open Sans" w:hAnsi="Open Sans" w:cs="Open Sans"/>
          <w:color w:val="000000" w:themeColor="text1"/>
          <w:sz w:val="20"/>
          <w:szCs w:val="20"/>
        </w:rPr>
        <w:t>The School of Education at UW Tacoma recently implemented minor revisions to our tuition exemption policy, effective summer 202</w:t>
      </w:r>
      <w:r w:rsidR="006F4539" w:rsidRPr="7D0CDD8C">
        <w:rPr>
          <w:rFonts w:ascii="Open Sans" w:eastAsia="Open Sans" w:hAnsi="Open Sans" w:cs="Open Sans"/>
          <w:color w:val="000000" w:themeColor="text1"/>
          <w:sz w:val="20"/>
          <w:szCs w:val="20"/>
        </w:rPr>
        <w:t>5</w:t>
      </w:r>
      <w:r w:rsidRPr="7D0CDD8C">
        <w:rPr>
          <w:rFonts w:ascii="Open Sans" w:eastAsia="Open Sans" w:hAnsi="Open Sans" w:cs="Open Sans"/>
          <w:color w:val="000000" w:themeColor="text1"/>
          <w:sz w:val="20"/>
          <w:szCs w:val="20"/>
        </w:rPr>
        <w:t>. Under our revised policy, the School of Education supports eligible Washington State employees (under RCW.28B.15.558) to enroll on a *</w:t>
      </w:r>
      <w:r w:rsidRPr="7D0CDD8C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space available basis </w:t>
      </w:r>
      <w:r w:rsidRPr="7D0CDD8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in up to 12 credits of allowable courses in our Master of Education (MEd) for Practicing Educators degree program. </w:t>
      </w:r>
    </w:p>
    <w:p w14:paraId="4CF916C2" w14:textId="6C554342" w:rsidR="00633664" w:rsidRDefault="2C86F78A" w:rsidP="3A78B6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66" w:lineRule="auto"/>
        <w:ind w:left="16" w:firstLine="3"/>
        <w:rPr>
          <w:rFonts w:ascii="Open Sans" w:eastAsia="Open Sans" w:hAnsi="Open Sans" w:cs="Open Sans"/>
          <w:color w:val="000000"/>
          <w:sz w:val="20"/>
          <w:szCs w:val="20"/>
        </w:rPr>
      </w:pPr>
      <w:r w:rsidRPr="3A78B60B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Eligible students may now choose eligible </w:t>
      </w:r>
      <w:r w:rsidR="697CC6D1" w:rsidRPr="3A78B60B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MEd for Practicing Educator </w:t>
      </w:r>
      <w:r w:rsidRPr="3A78B60B">
        <w:rPr>
          <w:rFonts w:ascii="Open Sans" w:eastAsia="Open Sans" w:hAnsi="Open Sans" w:cs="Open Sans"/>
          <w:color w:val="000000" w:themeColor="text1"/>
          <w:sz w:val="20"/>
          <w:szCs w:val="20"/>
        </w:rPr>
        <w:t>courses</w:t>
      </w:r>
      <w:r w:rsidR="4E36F937" w:rsidRPr="3A78B60B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, including </w:t>
      </w:r>
      <w:r w:rsidR="4B363DA5" w:rsidRPr="3A78B60B">
        <w:rPr>
          <w:rFonts w:ascii="Open Sans" w:eastAsia="Open Sans" w:hAnsi="Open Sans" w:cs="Open Sans"/>
          <w:color w:val="000000" w:themeColor="text1"/>
          <w:sz w:val="20"/>
          <w:szCs w:val="20"/>
        </w:rPr>
        <w:t>courses that are offered online</w:t>
      </w:r>
      <w:r w:rsidR="18AD8FFB" w:rsidRPr="3A78B60B">
        <w:rPr>
          <w:rFonts w:ascii="Open Sans" w:eastAsia="Open Sans" w:hAnsi="Open Sans" w:cs="Open Sans"/>
          <w:color w:val="000000" w:themeColor="text1"/>
          <w:sz w:val="20"/>
          <w:szCs w:val="20"/>
        </w:rPr>
        <w:t>, that</w:t>
      </w:r>
      <w:r w:rsidRPr="3A78B60B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fall</w:t>
      </w:r>
      <w:r w:rsidR="2C5E4A4F" w:rsidRPr="3A78B60B">
        <w:rPr>
          <w:rFonts w:ascii="Open Sans" w:eastAsia="Open Sans" w:hAnsi="Open Sans" w:cs="Open Sans"/>
          <w:color w:val="000000" w:themeColor="text1"/>
          <w:sz w:val="20"/>
          <w:szCs w:val="20"/>
        </w:rPr>
        <w:t>s</w:t>
      </w:r>
      <w:r w:rsidRPr="3A78B60B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within the 12-credit </w:t>
      </w:r>
      <w:r w:rsidR="2ED688F4" w:rsidRPr="3A78B60B">
        <w:rPr>
          <w:rFonts w:ascii="Open Sans" w:eastAsia="Open Sans" w:hAnsi="Open Sans" w:cs="Open Sans"/>
          <w:color w:val="000000" w:themeColor="text1"/>
          <w:sz w:val="20"/>
          <w:szCs w:val="20"/>
        </w:rPr>
        <w:t>maximum using</w:t>
      </w:r>
      <w:r w:rsidRPr="3A78B60B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their tuition-exemption benefits, with the exceptions of restrictions noted </w:t>
      </w:r>
      <w:r w:rsidR="23741CC6" w:rsidRPr="3A78B60B">
        <w:rPr>
          <w:rFonts w:ascii="Open Sans" w:eastAsia="Open Sans" w:hAnsi="Open Sans" w:cs="Open Sans"/>
          <w:color w:val="000000" w:themeColor="text1"/>
          <w:sz w:val="20"/>
          <w:szCs w:val="20"/>
        </w:rPr>
        <w:t>below</w:t>
      </w:r>
      <w:r w:rsidRPr="3A78B60B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. </w:t>
      </w:r>
    </w:p>
    <w:p w14:paraId="0AEAE97F" w14:textId="5E947EC3" w:rsidR="00633664" w:rsidRDefault="2C86F78A" w:rsidP="3A78B6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19"/>
        <w:rPr>
          <w:rFonts w:ascii="Open Sans" w:eastAsia="Open Sans" w:hAnsi="Open Sans" w:cs="Open Sans"/>
          <w:b/>
          <w:bCs/>
          <w:color w:val="000000"/>
          <w:sz w:val="20"/>
          <w:szCs w:val="20"/>
        </w:rPr>
      </w:pPr>
      <w:r w:rsidRPr="3A78B60B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  <w:u w:val="single"/>
        </w:rPr>
        <w:t xml:space="preserve">RESTRICTIONS </w:t>
      </w:r>
    </w:p>
    <w:p w14:paraId="1CC617E4" w14:textId="76C6B669" w:rsidR="00633664" w:rsidRDefault="2C86F78A" w:rsidP="291A2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70" w:lineRule="auto"/>
        <w:ind w:left="8" w:right="617" w:hanging="6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1. Students with </w:t>
      </w:r>
      <w:r w:rsidR="34F965EE"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graduate </w:t>
      </w:r>
      <w:r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non-matriculated status are not eligible for any tuition-exemption benefit. </w:t>
      </w:r>
    </w:p>
    <w:p w14:paraId="650A74C3" w14:textId="196E958D" w:rsidR="3A78B60B" w:rsidRDefault="3A78B60B" w:rsidP="3A78B6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70" w:lineRule="auto"/>
        <w:ind w:left="8" w:right="617" w:hanging="6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710C5884" w14:textId="544C6494" w:rsidR="00633664" w:rsidRDefault="2C86F78A" w:rsidP="291A2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70" w:lineRule="auto"/>
        <w:ind w:left="8" w:right="617" w:hanging="6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2. Courses that are not eligible for tuition-exemption benefits include: independent study culminating project/practicum, fieldwork, per RCW RCW.28B.15.558. </w:t>
      </w:r>
    </w:p>
    <w:p w14:paraId="6715E850" w14:textId="69F0D9CE" w:rsidR="3A78B60B" w:rsidRDefault="3A78B60B" w:rsidP="3A78B6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70" w:lineRule="auto"/>
        <w:ind w:left="8" w:right="617" w:hanging="6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01ACC6AE" w14:textId="70A24007" w:rsidR="00633664" w:rsidRDefault="2C86F78A" w:rsidP="291A2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70" w:lineRule="auto"/>
        <w:ind w:left="8" w:right="617" w:hanging="6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3. At this time, only our MEd for Practicing Educators degree program is eligible for the tuition exemption benefits. Other academic programs in the School of Education, such as </w:t>
      </w:r>
      <w:proofErr w:type="spellStart"/>
      <w:r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>EdS</w:t>
      </w:r>
      <w:proofErr w:type="spellEnd"/>
      <w:r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in School Psychology, </w:t>
      </w:r>
      <w:r w:rsidR="69945720"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graduate-level </w:t>
      </w:r>
      <w:r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>Teacher Certification</w:t>
      </w:r>
      <w:r w:rsidR="2F8A42D7"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Program (with optional MEd</w:t>
      </w:r>
      <w:r w:rsidR="29993D51"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degree-completion</w:t>
      </w:r>
      <w:r w:rsidR="2F8A42D7"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>)</w:t>
      </w:r>
      <w:r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>, Educational Administration, or EdD in Educational Leadership, are not eligible</w:t>
      </w:r>
      <w:r w:rsidR="06B0228F"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for this benefit</w:t>
      </w:r>
      <w:r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. </w:t>
      </w:r>
    </w:p>
    <w:p w14:paraId="57F8D37A" w14:textId="2FF26A27" w:rsidR="7D0CDD8C" w:rsidRDefault="7D0CDD8C" w:rsidP="3A78B6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70" w:lineRule="auto"/>
        <w:ind w:left="8" w:right="617" w:hanging="6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4F3C21D8" w14:textId="60E7733F" w:rsidR="00633664" w:rsidRDefault="2C86F78A" w:rsidP="291A2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70" w:lineRule="auto"/>
        <w:ind w:left="8" w:right="617" w:hanging="6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In order to maintain the academic integrity of each course and to ensure every student receives </w:t>
      </w:r>
      <w:r w:rsidR="14392EC1"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>the resources</w:t>
      </w:r>
      <w:r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needed to reach degree completion, class-size maximums of all classes will be </w:t>
      </w:r>
      <w:r w:rsidR="6CA923DE"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>strictly adhered</w:t>
      </w:r>
      <w:r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to. The time schedule will display the maximum enrollment for each course. </w:t>
      </w:r>
      <w:r w:rsidR="2E8B4E68"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>Additional class</w:t>
      </w:r>
      <w:r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sections will not be added solely to accommodate any student(s) using tuition-</w:t>
      </w:r>
      <w:r w:rsidR="46DE80FB"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>exemption benefits</w:t>
      </w:r>
      <w:r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. </w:t>
      </w:r>
    </w:p>
    <w:p w14:paraId="4E2E2F5A" w14:textId="2F25DF3E" w:rsidR="291A22E6" w:rsidRDefault="291A22E6" w:rsidP="291A2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70" w:lineRule="auto"/>
        <w:ind w:left="8" w:right="617" w:hanging="6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2F3B205A" w14:textId="5BB38946" w:rsidR="2C86F78A" w:rsidRDefault="2C86F78A" w:rsidP="291A2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8" w:lineRule="auto"/>
        <w:ind w:right="268"/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  <w:u w:val="single"/>
        </w:rPr>
      </w:pPr>
      <w:r w:rsidRPr="291A22E6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  <w:u w:val="single"/>
        </w:rPr>
        <w:t xml:space="preserve">CONTACT US WITH QUESTIONS </w:t>
      </w:r>
    </w:p>
    <w:p w14:paraId="23619129" w14:textId="16098F4A" w:rsidR="00633664" w:rsidRDefault="2C86F78A" w:rsidP="291A2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70" w:lineRule="auto"/>
        <w:ind w:left="8" w:right="617" w:hanging="6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>Please send any questions regarding our revised tuition-exemption policy to the main School of</w:t>
      </w:r>
      <w:r w:rsidR="79095916"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  <w:r w:rsidRPr="291A22E6">
        <w:rPr>
          <w:rFonts w:ascii="Open Sans" w:eastAsia="Open Sans" w:hAnsi="Open Sans" w:cs="Open Sans"/>
          <w:color w:val="000000" w:themeColor="text1"/>
          <w:sz w:val="20"/>
          <w:szCs w:val="20"/>
        </w:rPr>
        <w:t>Education email account at uwted@uw.edu. Along with your question(s), please include your name and UW student ID if applicable.</w:t>
      </w:r>
    </w:p>
    <w:sectPr w:rsidR="00633664">
      <w:pgSz w:w="12240" w:h="15840"/>
      <w:pgMar w:top="1440" w:right="1080" w:bottom="144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64"/>
    <w:rsid w:val="00085C51"/>
    <w:rsid w:val="002359C4"/>
    <w:rsid w:val="00517052"/>
    <w:rsid w:val="00633664"/>
    <w:rsid w:val="006F4539"/>
    <w:rsid w:val="01BF07B7"/>
    <w:rsid w:val="050C5EEC"/>
    <w:rsid w:val="06B0228F"/>
    <w:rsid w:val="0AEC1B5F"/>
    <w:rsid w:val="0C4D1AA2"/>
    <w:rsid w:val="0D263D53"/>
    <w:rsid w:val="0DF23F55"/>
    <w:rsid w:val="14392EC1"/>
    <w:rsid w:val="18AD8FFB"/>
    <w:rsid w:val="1B09269F"/>
    <w:rsid w:val="1D64AA38"/>
    <w:rsid w:val="1E5A7F20"/>
    <w:rsid w:val="2157D35E"/>
    <w:rsid w:val="23741CC6"/>
    <w:rsid w:val="25E4736B"/>
    <w:rsid w:val="25F8AFA2"/>
    <w:rsid w:val="291A22E6"/>
    <w:rsid w:val="294BE941"/>
    <w:rsid w:val="29993D51"/>
    <w:rsid w:val="2C5E4A4F"/>
    <w:rsid w:val="2C86F78A"/>
    <w:rsid w:val="2E4DA67D"/>
    <w:rsid w:val="2E5D044F"/>
    <w:rsid w:val="2E8B4E68"/>
    <w:rsid w:val="2ED688F4"/>
    <w:rsid w:val="2F499AD2"/>
    <w:rsid w:val="2F8A42D7"/>
    <w:rsid w:val="2FEAC8AA"/>
    <w:rsid w:val="3279B90F"/>
    <w:rsid w:val="34F62ABE"/>
    <w:rsid w:val="34F965EE"/>
    <w:rsid w:val="3A78B60B"/>
    <w:rsid w:val="3DBDF284"/>
    <w:rsid w:val="4070B402"/>
    <w:rsid w:val="41D42E5F"/>
    <w:rsid w:val="427F0FD0"/>
    <w:rsid w:val="43BA8B4F"/>
    <w:rsid w:val="442C96BF"/>
    <w:rsid w:val="44639677"/>
    <w:rsid w:val="4584E571"/>
    <w:rsid w:val="46DE80FB"/>
    <w:rsid w:val="4A55E40A"/>
    <w:rsid w:val="4AB18229"/>
    <w:rsid w:val="4B363DA5"/>
    <w:rsid w:val="4BECF7B5"/>
    <w:rsid w:val="4C9480A3"/>
    <w:rsid w:val="4E36F937"/>
    <w:rsid w:val="4F164615"/>
    <w:rsid w:val="53AA02FF"/>
    <w:rsid w:val="56369681"/>
    <w:rsid w:val="56AB5F9B"/>
    <w:rsid w:val="5D612B13"/>
    <w:rsid w:val="5DF8CD9E"/>
    <w:rsid w:val="632C6F2C"/>
    <w:rsid w:val="667E966D"/>
    <w:rsid w:val="673F62C1"/>
    <w:rsid w:val="683457F8"/>
    <w:rsid w:val="697CC6D1"/>
    <w:rsid w:val="69945720"/>
    <w:rsid w:val="69E57FF4"/>
    <w:rsid w:val="6B09DE94"/>
    <w:rsid w:val="6B12DCDB"/>
    <w:rsid w:val="6CA923DE"/>
    <w:rsid w:val="71C6884B"/>
    <w:rsid w:val="73ACA02D"/>
    <w:rsid w:val="769E6377"/>
    <w:rsid w:val="78656EA3"/>
    <w:rsid w:val="7898E7DF"/>
    <w:rsid w:val="79095916"/>
    <w:rsid w:val="7CB77497"/>
    <w:rsid w:val="7D0CD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EBFD"/>
  <w15:docId w15:val="{BAEABAF8-C877-4438-B61E-A2AB5F5B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jgailey</dc:creator>
  <cp:lastModifiedBy>jgailey</cp:lastModifiedBy>
  <cp:revision>2</cp:revision>
  <dcterms:created xsi:type="dcterms:W3CDTF">2025-05-05T17:02:00Z</dcterms:created>
  <dcterms:modified xsi:type="dcterms:W3CDTF">2025-05-05T17:02:00Z</dcterms:modified>
</cp:coreProperties>
</file>