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Rule="auto"/>
        <w:rPr>
          <w:rFonts w:ascii="Roboto" w:cs="Roboto" w:eastAsia="Roboto" w:hAnsi="Roboto"/>
          <w:sz w:val="22"/>
          <w:szCs w:val="22"/>
        </w:rPr>
      </w:pPr>
      <w:bookmarkStart w:colFirst="0" w:colLast="0" w:name="_xt6xbtv4s78h" w:id="0"/>
      <w:bookmarkEnd w:id="0"/>
      <w:r w:rsidDel="00000000" w:rsidR="00000000" w:rsidRPr="00000000">
        <w:rPr>
          <w:rFonts w:ascii="Roboto" w:cs="Roboto" w:eastAsia="Roboto" w:hAnsi="Roboto"/>
          <w:sz w:val="22"/>
          <w:szCs w:val="22"/>
        </w:rPr>
        <w:drawing>
          <wp:inline distB="19050" distT="19050" distL="19050" distR="19050">
            <wp:extent cx="5657850" cy="1079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57850" cy="1079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spacing w:after="80" w:before="0" w:lineRule="auto"/>
        <w:rPr>
          <w:rFonts w:ascii="Roboto" w:cs="Roboto" w:eastAsia="Roboto" w:hAnsi="Roboto"/>
          <w:b w:val="1"/>
          <w:bCs w:val="1"/>
          <w:sz w:val="22"/>
          <w:szCs w:val="22"/>
        </w:rPr>
      </w:pPr>
      <w:bookmarkStart w:colFirst="0" w:colLast="0" w:name="_fi6j6vun8tna" w:id="1"/>
      <w:bookmarkEnd w:id="1"/>
      <w:r w:rsidDel="00000000" w:rsidR="00000000" w:rsidRPr="00000000">
        <w:rPr>
          <w:rFonts w:ascii="Roboto" w:cs="Roboto" w:eastAsia="Roboto" w:hAnsi="Roboto"/>
          <w:b w:val="1"/>
          <w:bCs w:val="1"/>
          <w:sz w:val="22"/>
          <w:szCs w:val="22"/>
          <w:rtl w:val="0"/>
        </w:rPr>
        <w:t xml:space="preserve">Meeting Minutes: Undergraduate Program Committee (UPC)</w:t>
      </w:r>
    </w:p>
    <w:p w:rsidR="00000000" w:rsidDel="00000000" w:rsidP="00000000" w:rsidRDefault="00000000" w:rsidRPr="00000000" w14:paraId="00000003">
      <w:pPr>
        <w:spacing w:after="240" w:lineRule="auto"/>
        <w:rPr>
          <w:rFonts w:ascii="Roboto" w:cs="Roboto" w:eastAsia="Roboto" w:hAnsi="Roboto"/>
        </w:rPr>
      </w:pPr>
      <w:r w:rsidDel="00000000" w:rsidR="00000000" w:rsidRPr="00000000">
        <w:rPr>
          <w:rFonts w:ascii="Roboto" w:cs="Roboto" w:eastAsia="Roboto" w:hAnsi="Roboto"/>
          <w:b w:val="1"/>
          <w:bCs w:val="1"/>
          <w:rtl w:val="0"/>
        </w:rPr>
        <w:t xml:space="preserve">Date:</w:t>
      </w:r>
      <w:r w:rsidDel="00000000" w:rsidR="00000000" w:rsidRPr="00000000">
        <w:rPr>
          <w:rFonts w:ascii="Roboto" w:cs="Roboto" w:eastAsia="Roboto" w:hAnsi="Roboto"/>
          <w:rtl w:val="0"/>
        </w:rPr>
        <w:t xml:space="preserve"> Thursday, January 22, 2026</w:t>
      </w:r>
    </w:p>
    <w:p w:rsidR="00000000" w:rsidDel="00000000" w:rsidP="00000000" w:rsidRDefault="00000000" w:rsidRPr="00000000" w14:paraId="00000004">
      <w:pPr>
        <w:spacing w:after="240" w:lineRule="auto"/>
        <w:rPr>
          <w:rFonts w:ascii="Roboto" w:cs="Roboto" w:eastAsia="Roboto" w:hAnsi="Roboto"/>
        </w:rPr>
      </w:pPr>
      <w:r w:rsidDel="00000000" w:rsidR="00000000" w:rsidRPr="00000000">
        <w:rPr>
          <w:rFonts w:ascii="Roboto" w:cs="Roboto" w:eastAsia="Roboto" w:hAnsi="Roboto"/>
          <w:rtl w:val="0"/>
        </w:rPr>
        <w:t xml:space="preserve">Attending:</w:t>
      </w:r>
      <w:r w:rsidDel="00000000" w:rsidR="00000000" w:rsidRPr="00000000">
        <w:rPr>
          <w:rtl w:val="0"/>
        </w:rPr>
      </w:r>
    </w:p>
    <w:p w:rsidR="00000000" w:rsidDel="00000000" w:rsidP="00000000" w:rsidRDefault="00000000" w:rsidRPr="00000000" w14:paraId="00000005">
      <w:pPr>
        <w:numPr>
          <w:ilvl w:val="0"/>
          <w:numId w:val="5"/>
        </w:numPr>
        <w:spacing w:after="0" w:afterAutospacing="0" w:before="60" w:lineRule="auto"/>
        <w:ind w:left="720" w:hanging="360"/>
        <w:rPr>
          <w:rFonts w:ascii="Roboto" w:cs="Roboto" w:eastAsia="Roboto" w:hAnsi="Roboto"/>
        </w:rPr>
      </w:pPr>
      <w:r w:rsidDel="00000000" w:rsidR="00000000" w:rsidRPr="00000000">
        <w:rPr>
          <w:rFonts w:ascii="Roboto" w:cs="Roboto" w:eastAsia="Roboto" w:hAnsi="Roboto"/>
          <w:rtl w:val="0"/>
        </w:rPr>
        <w:t xml:space="preserve">Voting members: Hui Suk So (Chair), Alireza Boloori, Ray Fang, Abel Hernandez</w:t>
      </w:r>
    </w:p>
    <w:p w:rsidR="00000000" w:rsidDel="00000000" w:rsidP="00000000" w:rsidRDefault="00000000" w:rsidRPr="00000000" w14:paraId="00000006">
      <w:pPr>
        <w:numPr>
          <w:ilvl w:val="0"/>
          <w:numId w:val="5"/>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Ex-officio non-voting members: Gary Viers (UP Director), Marion Eberly (Assoc. Dean), Naomi Guidry (Academic Sr. Manager), Advisors - </w:t>
      </w:r>
      <w:r w:rsidDel="00000000" w:rsidR="00000000" w:rsidRPr="00000000">
        <w:rPr>
          <w:rFonts w:ascii="Roboto" w:cs="Roboto" w:eastAsia="Roboto" w:hAnsi="Roboto"/>
          <w:rtl w:val="0"/>
        </w:rPr>
        <w:t xml:space="preserve">Raihab Baig,</w:t>
      </w:r>
      <w:r w:rsidDel="00000000" w:rsidR="00000000" w:rsidRPr="00000000">
        <w:rPr>
          <w:rFonts w:ascii="Roboto" w:cs="Roboto" w:eastAsia="Roboto" w:hAnsi="Roboto"/>
          <w:rtl w:val="0"/>
        </w:rPr>
        <w:t xml:space="preserve"> Dayna Childs, </w:t>
      </w:r>
    </w:p>
    <w:p w:rsidR="00000000" w:rsidDel="00000000" w:rsidP="00000000" w:rsidRDefault="00000000" w:rsidRPr="00000000" w14:paraId="00000007">
      <w:pPr>
        <w:numPr>
          <w:ilvl w:val="0"/>
          <w:numId w:val="5"/>
        </w:numPr>
        <w:spacing w:after="6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Guest(s): Luna Zhang</w:t>
      </w:r>
      <w:r w:rsidDel="00000000" w:rsidR="00000000" w:rsidRPr="00000000">
        <w:rPr>
          <w:rtl w:val="0"/>
        </w:rPr>
      </w:r>
    </w:p>
    <w:p w:rsidR="00000000" w:rsidDel="00000000" w:rsidP="00000000" w:rsidRDefault="00000000" w:rsidRPr="00000000" w14:paraId="00000008">
      <w:pPr>
        <w:widowControl w:val="0"/>
        <w:spacing w:line="240" w:lineRule="auto"/>
        <w:rPr>
          <w:rFonts w:ascii="Roboto" w:cs="Roboto" w:eastAsia="Roboto" w:hAnsi="Roboto"/>
          <w:color w:val="1f1f1f"/>
        </w:rPr>
      </w:pPr>
      <w:r w:rsidDel="00000000" w:rsidR="00000000" w:rsidRPr="00000000">
        <w:rPr>
          <w:rtl w:val="0"/>
        </w:rPr>
      </w:r>
    </w:p>
    <w:p w:rsidR="00000000" w:rsidDel="00000000" w:rsidP="00000000" w:rsidRDefault="00000000" w:rsidRPr="00000000" w14:paraId="00000009">
      <w:pPr>
        <w:pStyle w:val="Heading3"/>
        <w:keepNext w:val="0"/>
        <w:keepLines w:val="0"/>
        <w:spacing w:before="0" w:lineRule="auto"/>
        <w:rPr>
          <w:rFonts w:ascii="Roboto" w:cs="Roboto" w:eastAsia="Roboto" w:hAnsi="Roboto"/>
          <w:b w:val="1"/>
          <w:bCs w:val="1"/>
          <w:color w:val="000000"/>
          <w:sz w:val="22"/>
          <w:szCs w:val="22"/>
        </w:rPr>
      </w:pPr>
      <w:bookmarkStart w:colFirst="0" w:colLast="0" w:name="_psn9uxbhtqps" w:id="2"/>
      <w:bookmarkEnd w:id="2"/>
      <w:r w:rsidDel="00000000" w:rsidR="00000000" w:rsidRPr="00000000">
        <w:rPr>
          <w:rFonts w:ascii="Roboto" w:cs="Roboto" w:eastAsia="Roboto" w:hAnsi="Roboto"/>
          <w:b w:val="1"/>
          <w:bCs w:val="1"/>
          <w:color w:val="000000"/>
          <w:sz w:val="22"/>
          <w:szCs w:val="22"/>
          <w:rtl w:val="0"/>
        </w:rPr>
        <w:t xml:space="preserve">1. Call to Order &amp; Approval of Minutes</w:t>
      </w:r>
    </w:p>
    <w:p w:rsidR="00000000" w:rsidDel="00000000" w:rsidP="00000000" w:rsidRDefault="00000000" w:rsidRPr="00000000" w14:paraId="0000000A">
      <w:pPr>
        <w:numPr>
          <w:ilvl w:val="0"/>
          <w:numId w:val="2"/>
        </w:numPr>
        <w:spacing w:after="0" w:afterAutospacing="0" w:lineRule="auto"/>
        <w:ind w:left="720" w:hanging="360"/>
        <w:rPr/>
      </w:pPr>
      <w:r w:rsidDel="00000000" w:rsidR="00000000" w:rsidRPr="00000000">
        <w:rPr>
          <w:rFonts w:ascii="Roboto" w:cs="Roboto" w:eastAsia="Roboto" w:hAnsi="Roboto"/>
          <w:b w:val="1"/>
          <w:bCs w:val="1"/>
          <w:rtl w:val="0"/>
        </w:rPr>
        <w:t xml:space="preserve">Motion to Approve:</w:t>
      </w:r>
      <w:r w:rsidDel="00000000" w:rsidR="00000000" w:rsidRPr="00000000">
        <w:rPr>
          <w:rFonts w:ascii="Roboto" w:cs="Roboto" w:eastAsia="Roboto" w:hAnsi="Roboto"/>
          <w:rtl w:val="0"/>
        </w:rPr>
        <w:t xml:space="preserve"> The chair called for approval of the previous meeting's minutes.</w:t>
      </w:r>
    </w:p>
    <w:p w:rsidR="00000000" w:rsidDel="00000000" w:rsidP="00000000" w:rsidRDefault="00000000" w:rsidRPr="00000000" w14:paraId="0000000B">
      <w:pPr>
        <w:numPr>
          <w:ilvl w:val="0"/>
          <w:numId w:val="2"/>
        </w:numPr>
        <w:spacing w:after="0" w:afterAutospacing="0" w:lineRule="auto"/>
        <w:ind w:left="720" w:hanging="360"/>
        <w:rPr/>
      </w:pPr>
      <w:r w:rsidDel="00000000" w:rsidR="00000000" w:rsidRPr="00000000">
        <w:rPr>
          <w:rFonts w:ascii="Roboto" w:cs="Roboto" w:eastAsia="Roboto" w:hAnsi="Roboto"/>
          <w:b w:val="1"/>
          <w:bCs w:val="1"/>
          <w:rtl w:val="0"/>
        </w:rPr>
        <w:t xml:space="preserve">Amendment:</w:t>
      </w:r>
      <w:r w:rsidDel="00000000" w:rsidR="00000000" w:rsidRPr="00000000">
        <w:rPr>
          <w:rFonts w:ascii="Roboto" w:cs="Roboto" w:eastAsia="Roboto" w:hAnsi="Roboto"/>
          <w:rtl w:val="0"/>
        </w:rPr>
        <w:t xml:space="preserve"> Member 1 proposed an amendment to remove specific faculty names from voting records to maintain privacy in public documents.</w:t>
      </w:r>
    </w:p>
    <w:p w:rsidR="00000000" w:rsidDel="00000000" w:rsidP="00000000" w:rsidRDefault="00000000" w:rsidRPr="00000000" w14:paraId="0000000C">
      <w:pPr>
        <w:numPr>
          <w:ilvl w:val="0"/>
          <w:numId w:val="2"/>
        </w:numPr>
        <w:spacing w:after="240" w:lineRule="auto"/>
        <w:ind w:left="720" w:hanging="360"/>
        <w:rPr/>
      </w:pPr>
      <w:r w:rsidDel="00000000" w:rsidR="00000000" w:rsidRPr="00000000">
        <w:rPr>
          <w:rFonts w:ascii="Roboto" w:cs="Roboto" w:eastAsia="Roboto" w:hAnsi="Roboto"/>
          <w:b w:val="1"/>
          <w:bCs w:val="1"/>
          <w:rtl w:val="0"/>
        </w:rPr>
        <w:t xml:space="preserve">Result:</w:t>
      </w:r>
      <w:r w:rsidDel="00000000" w:rsidR="00000000" w:rsidRPr="00000000">
        <w:rPr>
          <w:rFonts w:ascii="Roboto" w:cs="Roboto" w:eastAsia="Roboto" w:hAnsi="Roboto"/>
          <w:rtl w:val="0"/>
        </w:rPr>
        <w:t xml:space="preserve"> The minutes were approved with the amendment (Motion: Alireza Boloori; Second: Ray).</w:t>
      </w:r>
    </w:p>
    <w:p w:rsidR="00000000" w:rsidDel="00000000" w:rsidP="00000000" w:rsidRDefault="00000000" w:rsidRPr="00000000" w14:paraId="0000000D">
      <w:pPr>
        <w:pStyle w:val="Heading3"/>
        <w:keepNext w:val="0"/>
        <w:keepLines w:val="0"/>
        <w:spacing w:before="0" w:lineRule="auto"/>
        <w:rPr>
          <w:rFonts w:ascii="Roboto" w:cs="Roboto" w:eastAsia="Roboto" w:hAnsi="Roboto"/>
          <w:b w:val="1"/>
          <w:bCs w:val="1"/>
          <w:color w:val="000000"/>
          <w:sz w:val="22"/>
          <w:szCs w:val="22"/>
        </w:rPr>
      </w:pPr>
      <w:bookmarkStart w:colFirst="0" w:colLast="0" w:name="_smlo2m4e2f95" w:id="3"/>
      <w:bookmarkEnd w:id="3"/>
      <w:r w:rsidDel="00000000" w:rsidR="00000000" w:rsidRPr="00000000">
        <w:rPr>
          <w:rFonts w:ascii="Roboto" w:cs="Roboto" w:eastAsia="Roboto" w:hAnsi="Roboto"/>
          <w:b w:val="1"/>
          <w:bCs w:val="1"/>
          <w:color w:val="000000"/>
          <w:sz w:val="22"/>
          <w:szCs w:val="22"/>
          <w:rtl w:val="0"/>
        </w:rPr>
        <w:t xml:space="preserve">2. Faculty Meeting Updates</w:t>
      </w:r>
    </w:p>
    <w:p w:rsidR="00000000" w:rsidDel="00000000" w:rsidP="00000000" w:rsidRDefault="00000000" w:rsidRPr="00000000" w14:paraId="0000000E">
      <w:pPr>
        <w:numPr>
          <w:ilvl w:val="0"/>
          <w:numId w:val="3"/>
        </w:numPr>
        <w:spacing w:after="0" w:after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The chair</w:t>
      </w:r>
      <w:r w:rsidDel="00000000" w:rsidR="00000000" w:rsidRPr="00000000">
        <w:rPr>
          <w:rFonts w:ascii="Roboto" w:cs="Roboto" w:eastAsia="Roboto" w:hAnsi="Roboto"/>
          <w:rtl w:val="0"/>
        </w:rPr>
        <w:t xml:space="preserve"> reported that the full faculty approved the removal of the math requirement/placement test for TBGEN 250 and the proposal to lower the 3.0 GPA requirement for the direct admit.</w:t>
      </w:r>
    </w:p>
    <w:p w:rsidR="00000000" w:rsidDel="00000000" w:rsidP="00000000" w:rsidRDefault="00000000" w:rsidRPr="00000000" w14:paraId="0000000F">
      <w:pPr>
        <w:numPr>
          <w:ilvl w:val="0"/>
          <w:numId w:val="3"/>
        </w:numPr>
        <w:spacing w:after="240" w:lineRule="auto"/>
        <w:ind w:left="720" w:hanging="360"/>
        <w:rPr>
          <w:rFonts w:ascii="Roboto" w:cs="Roboto" w:eastAsia="Roboto" w:hAnsi="Roboto"/>
        </w:rPr>
      </w:pPr>
      <w:r w:rsidDel="00000000" w:rsidR="00000000" w:rsidRPr="00000000">
        <w:rPr>
          <w:rFonts w:ascii="Roboto" w:cs="Roboto" w:eastAsia="Roboto" w:hAnsi="Roboto"/>
          <w:rtl w:val="0"/>
        </w:rPr>
        <w:t xml:space="preserve">The discussion on competency goal language was postponed at the faculty meeting due to time constraints.</w:t>
      </w:r>
    </w:p>
    <w:p w:rsidR="00000000" w:rsidDel="00000000" w:rsidP="00000000" w:rsidRDefault="00000000" w:rsidRPr="00000000" w14:paraId="00000010">
      <w:pPr>
        <w:pStyle w:val="Heading3"/>
        <w:keepNext w:val="0"/>
        <w:keepLines w:val="0"/>
        <w:spacing w:before="0" w:lineRule="auto"/>
        <w:rPr>
          <w:rFonts w:ascii="Roboto" w:cs="Roboto" w:eastAsia="Roboto" w:hAnsi="Roboto"/>
          <w:b w:val="1"/>
          <w:bCs w:val="1"/>
          <w:color w:val="000000"/>
          <w:sz w:val="22"/>
          <w:szCs w:val="22"/>
        </w:rPr>
      </w:pPr>
      <w:bookmarkStart w:colFirst="0" w:colLast="0" w:name="_trm7krfzc0o0" w:id="4"/>
      <w:bookmarkEnd w:id="4"/>
      <w:r w:rsidDel="00000000" w:rsidR="00000000" w:rsidRPr="00000000">
        <w:rPr>
          <w:rFonts w:ascii="Roboto" w:cs="Roboto" w:eastAsia="Roboto" w:hAnsi="Roboto"/>
          <w:b w:val="1"/>
          <w:bCs w:val="1"/>
          <w:color w:val="000000"/>
          <w:sz w:val="22"/>
          <w:szCs w:val="22"/>
          <w:rtl w:val="0"/>
        </w:rPr>
        <w:t xml:space="preserve">3. New Supply Chain Course Proposals (Guest: Luna Zhang)</w:t>
      </w:r>
    </w:p>
    <w:p w:rsidR="00000000" w:rsidDel="00000000" w:rsidP="00000000" w:rsidRDefault="00000000" w:rsidRPr="00000000" w14:paraId="00000011">
      <w:pPr>
        <w:spacing w:after="240" w:lineRule="auto"/>
        <w:rPr>
          <w:rFonts w:ascii="Roboto" w:cs="Roboto" w:eastAsia="Roboto" w:hAnsi="Roboto"/>
        </w:rPr>
      </w:pPr>
      <w:r w:rsidDel="00000000" w:rsidR="00000000" w:rsidRPr="00000000">
        <w:rPr>
          <w:rFonts w:ascii="Roboto" w:cs="Roboto" w:eastAsia="Roboto" w:hAnsi="Roboto"/>
          <w:rtl w:val="0"/>
        </w:rPr>
        <w:t xml:space="preserve">Luna Zhang presented three new permanent courses to address a gap in the supply chain curriculum at UW Tacoma. She provided a comprehensive rationale for transitioning these three “Special Topics” (490) courses into permanent courses to the Supply Chain curriculum.</w:t>
      </w:r>
    </w:p>
    <w:p w:rsidR="00000000" w:rsidDel="00000000" w:rsidP="00000000" w:rsidRDefault="00000000" w:rsidRPr="00000000" w14:paraId="00000012">
      <w:pPr>
        <w:numPr>
          <w:ilvl w:val="0"/>
          <w:numId w:val="6"/>
        </w:numPr>
        <w:spacing w:after="0" w:afterAutospacing="0" w:lineRule="auto"/>
        <w:ind w:left="720" w:hanging="360"/>
        <w:rPr/>
      </w:pPr>
      <w:r w:rsidDel="00000000" w:rsidR="00000000" w:rsidRPr="00000000">
        <w:rPr>
          <w:rFonts w:ascii="Roboto" w:cs="Roboto" w:eastAsia="Roboto" w:hAnsi="Roboto"/>
          <w:b w:val="1"/>
          <w:bCs w:val="1"/>
          <w:rtl w:val="0"/>
        </w:rPr>
        <w:t xml:space="preserve">TLSCM 420:</w:t>
      </w:r>
      <w:r w:rsidDel="00000000" w:rsidR="00000000" w:rsidRPr="00000000">
        <w:rPr>
          <w:rFonts w:ascii="Roboto" w:cs="Roboto" w:eastAsia="Roboto" w:hAnsi="Roboto"/>
          <w:rtl w:val="0"/>
        </w:rPr>
        <w:t xml:space="preserve"> Foundations of Operations and Supply Chain Management.</w:t>
      </w:r>
    </w:p>
    <w:p w:rsidR="00000000" w:rsidDel="00000000" w:rsidP="00000000" w:rsidRDefault="00000000" w:rsidRPr="00000000" w14:paraId="00000013">
      <w:pPr>
        <w:numPr>
          <w:ilvl w:val="0"/>
          <w:numId w:val="6"/>
        </w:numPr>
        <w:spacing w:after="0" w:afterAutospacing="0" w:lineRule="auto"/>
        <w:ind w:left="720" w:hanging="360"/>
        <w:rPr/>
      </w:pPr>
      <w:r w:rsidDel="00000000" w:rsidR="00000000" w:rsidRPr="00000000">
        <w:rPr>
          <w:rFonts w:ascii="Roboto" w:cs="Roboto" w:eastAsia="Roboto" w:hAnsi="Roboto"/>
          <w:b w:val="1"/>
          <w:bCs w:val="1"/>
          <w:rtl w:val="0"/>
        </w:rPr>
        <w:t xml:space="preserve">TLSCM 421:</w:t>
      </w:r>
      <w:r w:rsidDel="00000000" w:rsidR="00000000" w:rsidRPr="00000000">
        <w:rPr>
          <w:rFonts w:ascii="Roboto" w:cs="Roboto" w:eastAsia="Roboto" w:hAnsi="Roboto"/>
          <w:rtl w:val="0"/>
        </w:rPr>
        <w:t xml:space="preserve"> Transportation and Distribution Systems.</w:t>
      </w:r>
    </w:p>
    <w:p w:rsidR="00000000" w:rsidDel="00000000" w:rsidP="00000000" w:rsidRDefault="00000000" w:rsidRPr="00000000" w14:paraId="00000014">
      <w:pPr>
        <w:numPr>
          <w:ilvl w:val="0"/>
          <w:numId w:val="6"/>
        </w:numPr>
        <w:spacing w:after="240" w:lineRule="auto"/>
        <w:ind w:left="720" w:hanging="360"/>
        <w:rPr/>
      </w:pPr>
      <w:r w:rsidDel="00000000" w:rsidR="00000000" w:rsidRPr="00000000">
        <w:rPr>
          <w:rFonts w:ascii="Roboto" w:cs="Roboto" w:eastAsia="Roboto" w:hAnsi="Roboto"/>
          <w:b w:val="1"/>
          <w:bCs w:val="1"/>
          <w:rtl w:val="0"/>
        </w:rPr>
        <w:t xml:space="preserve">TLSCM 422:</w:t>
      </w:r>
      <w:r w:rsidDel="00000000" w:rsidR="00000000" w:rsidRPr="00000000">
        <w:rPr>
          <w:rFonts w:ascii="Roboto" w:cs="Roboto" w:eastAsia="Roboto" w:hAnsi="Roboto"/>
          <w:rtl w:val="0"/>
        </w:rPr>
        <w:t xml:space="preserve"> Decision Modeling in Logistics and Supply Chain.</w:t>
      </w:r>
    </w:p>
    <w:p w:rsidR="00000000" w:rsidDel="00000000" w:rsidP="00000000" w:rsidRDefault="00000000" w:rsidRPr="00000000" w14:paraId="00000015">
      <w:pPr>
        <w:spacing w:after="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Key Discussion Points:</w:t>
      </w:r>
    </w:p>
    <w:p w:rsidR="00000000" w:rsidDel="00000000" w:rsidP="00000000" w:rsidRDefault="00000000" w:rsidRPr="00000000" w14:paraId="00000016">
      <w:pPr>
        <w:numPr>
          <w:ilvl w:val="0"/>
          <w:numId w:val="8"/>
        </w:numPr>
        <w:spacing w:after="0" w:afterAutospacing="0" w:lineRule="auto"/>
        <w:ind w:left="720" w:hanging="360"/>
        <w:rPr/>
      </w:pPr>
      <w:r w:rsidDel="00000000" w:rsidR="00000000" w:rsidRPr="00000000">
        <w:rPr>
          <w:rFonts w:ascii="Roboto" w:cs="Roboto" w:eastAsia="Roboto" w:hAnsi="Roboto"/>
          <w:b w:val="1"/>
          <w:bCs w:val="1"/>
          <w:rtl w:val="0"/>
        </w:rPr>
        <w:t xml:space="preserve">Curriculum Gap:</w:t>
      </w:r>
      <w:r w:rsidDel="00000000" w:rsidR="00000000" w:rsidRPr="00000000">
        <w:rPr>
          <w:rFonts w:ascii="Roboto" w:cs="Roboto" w:eastAsia="Roboto" w:hAnsi="Roboto"/>
          <w:rtl w:val="0"/>
        </w:rPr>
        <w:t xml:space="preserve"> Currently UW Tacoma lacks permanent logistics and supply chain courses despite Washington State’s economy being heavily reliant (roughly 30%) on these sectors.</w:t>
      </w:r>
    </w:p>
    <w:p w:rsidR="00000000" w:rsidDel="00000000" w:rsidP="00000000" w:rsidRDefault="00000000" w:rsidRPr="00000000" w14:paraId="00000017">
      <w:pPr>
        <w:numPr>
          <w:ilvl w:val="0"/>
          <w:numId w:val="8"/>
        </w:numPr>
        <w:spacing w:after="0" w:afterAutospacing="0" w:lineRule="auto"/>
        <w:ind w:left="720" w:hanging="360"/>
        <w:rPr/>
      </w:pPr>
      <w:r w:rsidDel="00000000" w:rsidR="00000000" w:rsidRPr="00000000">
        <w:rPr>
          <w:rFonts w:ascii="Roboto" w:cs="Roboto" w:eastAsia="Roboto" w:hAnsi="Roboto"/>
          <w:b w:val="1"/>
          <w:bCs w:val="1"/>
          <w:rtl w:val="0"/>
        </w:rPr>
        <w:t xml:space="preserve">Demand:</w:t>
      </w:r>
      <w:r w:rsidDel="00000000" w:rsidR="00000000" w:rsidRPr="00000000">
        <w:rPr>
          <w:rFonts w:ascii="Roboto" w:cs="Roboto" w:eastAsia="Roboto" w:hAnsi="Roboto"/>
          <w:rtl w:val="0"/>
        </w:rPr>
        <w:t xml:space="preserve"> High interest from partners like Boeing and Amazon. Boeing has already hired students directly from the temporary versions of these courses.</w:t>
      </w:r>
    </w:p>
    <w:p w:rsidR="00000000" w:rsidDel="00000000" w:rsidP="00000000" w:rsidRDefault="00000000" w:rsidRPr="00000000" w14:paraId="00000018">
      <w:pPr>
        <w:numPr>
          <w:ilvl w:val="0"/>
          <w:numId w:val="8"/>
        </w:numPr>
        <w:spacing w:after="0" w:afterAutospacing="0" w:lineRule="auto"/>
        <w:ind w:left="720" w:hanging="360"/>
        <w:rPr/>
      </w:pPr>
      <w:r w:rsidDel="00000000" w:rsidR="00000000" w:rsidRPr="00000000">
        <w:rPr>
          <w:rFonts w:ascii="Roboto" w:cs="Roboto" w:eastAsia="Roboto" w:hAnsi="Roboto"/>
          <w:b w:val="1"/>
          <w:bCs w:val="1"/>
          <w:rtl w:val="0"/>
        </w:rPr>
        <w:t xml:space="preserve">Grading:</w:t>
      </w:r>
      <w:r w:rsidDel="00000000" w:rsidR="00000000" w:rsidRPr="00000000">
        <w:rPr>
          <w:rFonts w:ascii="Roboto" w:cs="Roboto" w:eastAsia="Roboto" w:hAnsi="Roboto"/>
          <w:rtl w:val="0"/>
        </w:rPr>
        <w:t xml:space="preserve"> Member 1 questioned a 50% grading weight for field tours; Luna clarified these would include reflection essays. There was a brief discussion on ensuring grading scale uniformity across the department.</w:t>
      </w:r>
    </w:p>
    <w:p w:rsidR="00000000" w:rsidDel="00000000" w:rsidP="00000000" w:rsidRDefault="00000000" w:rsidRPr="00000000" w14:paraId="00000019">
      <w:pPr>
        <w:numPr>
          <w:ilvl w:val="0"/>
          <w:numId w:val="8"/>
        </w:numPr>
        <w:spacing w:after="0" w:afterAutospacing="0" w:lineRule="auto"/>
        <w:ind w:left="720" w:hanging="360"/>
        <w:rPr/>
      </w:pPr>
      <w:r w:rsidDel="00000000" w:rsidR="00000000" w:rsidRPr="00000000">
        <w:rPr>
          <w:rFonts w:ascii="Roboto" w:cs="Roboto" w:eastAsia="Roboto" w:hAnsi="Roboto"/>
          <w:b w:val="1"/>
          <w:bCs w:val="1"/>
          <w:rtl w:val="0"/>
        </w:rPr>
        <w:t xml:space="preserve">Cross-Campus Enrollment:</w:t>
      </w:r>
      <w:r w:rsidDel="00000000" w:rsidR="00000000" w:rsidRPr="00000000">
        <w:rPr>
          <w:rFonts w:ascii="Roboto" w:cs="Roboto" w:eastAsia="Roboto" w:hAnsi="Roboto"/>
          <w:rtl w:val="0"/>
        </w:rPr>
        <w:t xml:space="preserve"> Member 2 questioned low enrollment in the 490 course. Luna Zhang noted that Foster School of Business currently turns away over 150 applicants for similar programs, representing a significant tap-in opportunity for the Tacoma Campus. Counselor 1 clarified that UW Seattle and Bothell students can enroll in these courses and even complete a minor at the Tacoma campus if prerequisites are met.</w:t>
      </w:r>
    </w:p>
    <w:p w:rsidR="00000000" w:rsidDel="00000000" w:rsidP="00000000" w:rsidRDefault="00000000" w:rsidRPr="00000000" w14:paraId="0000001A">
      <w:pPr>
        <w:numPr>
          <w:ilvl w:val="0"/>
          <w:numId w:val="8"/>
        </w:numPr>
        <w:spacing w:after="240" w:lineRule="auto"/>
        <w:ind w:left="720" w:hanging="360"/>
        <w:rPr/>
      </w:pPr>
      <w:r w:rsidDel="00000000" w:rsidR="00000000" w:rsidRPr="00000000">
        <w:rPr>
          <w:rFonts w:ascii="Roboto" w:cs="Roboto" w:eastAsia="Roboto" w:hAnsi="Roboto"/>
          <w:b w:val="1"/>
          <w:bCs w:val="1"/>
          <w:rtl w:val="0"/>
        </w:rPr>
        <w:t xml:space="preserve">Vote:</w:t>
      </w:r>
      <w:r w:rsidDel="00000000" w:rsidR="00000000" w:rsidRPr="00000000">
        <w:rPr>
          <w:rFonts w:ascii="Roboto" w:cs="Roboto" w:eastAsia="Roboto" w:hAnsi="Roboto"/>
          <w:rtl w:val="0"/>
        </w:rPr>
        <w:t xml:space="preserve"> All three courses were approved unanimously as a block to move forward to the full faculty (Motion: Hui Suk So; Second: Alireza Boloori).</w:t>
      </w:r>
    </w:p>
    <w:p w:rsidR="00000000" w:rsidDel="00000000" w:rsidP="00000000" w:rsidRDefault="00000000" w:rsidRPr="00000000" w14:paraId="0000001B">
      <w:pPr>
        <w:spacing w:after="240" w:lineRule="auto"/>
        <w:rPr>
          <w:rFonts w:ascii="Roboto" w:cs="Roboto" w:eastAsia="Roboto" w:hAnsi="Roboto"/>
        </w:rPr>
      </w:pPr>
      <w:r w:rsidDel="00000000" w:rsidR="00000000" w:rsidRPr="00000000">
        <w:rPr>
          <w:rFonts w:ascii="Roboto" w:cs="Roboto" w:eastAsia="Roboto" w:hAnsi="Roboto"/>
          <w:b w:val="1"/>
          <w:bCs w:val="1"/>
          <w:rtl w:val="0"/>
        </w:rPr>
        <w:t xml:space="preserve">Rationale for approval by the UPC</w:t>
      </w:r>
      <w:r w:rsidDel="00000000" w:rsidR="00000000" w:rsidRPr="00000000">
        <w:rPr>
          <w:rFonts w:ascii="Roboto" w:cs="Roboto" w:eastAsia="Roboto" w:hAnsi="Roboto"/>
          <w:rtl w:val="0"/>
        </w:rPr>
        <w:t xml:space="preserve">:</w:t>
      </w:r>
    </w:p>
    <w:p w:rsidR="00000000" w:rsidDel="00000000" w:rsidP="00000000" w:rsidRDefault="00000000" w:rsidRPr="00000000" w14:paraId="0000001C">
      <w:pPr>
        <w:numPr>
          <w:ilvl w:val="0"/>
          <w:numId w:val="7"/>
        </w:numPr>
        <w:spacing w:after="0" w:afterAutospacing="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Strategic Need vs. Current Enrollment:</w:t>
      </w:r>
      <w:r w:rsidDel="00000000" w:rsidR="00000000" w:rsidRPr="00000000">
        <w:rPr>
          <w:rFonts w:ascii="Roboto" w:cs="Roboto" w:eastAsia="Roboto" w:hAnsi="Roboto"/>
          <w:rtl w:val="0"/>
        </w:rPr>
        <w:t xml:space="preserve"> A key point of discussion was the relatively low enrollment (10–13 students) in the temporary version of the 490 course. However, we weighed this against the fact that the Foster School in Seattle currently turns away over 150 applicants for similar programs. We view this as a significant "tap-in" opportunity for the Tacoma campus to capture that overflow.</w:t>
      </w:r>
    </w:p>
    <w:p w:rsidR="00000000" w:rsidDel="00000000" w:rsidP="00000000" w:rsidRDefault="00000000" w:rsidRPr="00000000" w14:paraId="0000001D">
      <w:pPr>
        <w:numPr>
          <w:ilvl w:val="0"/>
          <w:numId w:val="7"/>
        </w:numPr>
        <w:spacing w:after="0" w:afterAutospacing="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Proven Outcomes:</w:t>
      </w:r>
      <w:r w:rsidDel="00000000" w:rsidR="00000000" w:rsidRPr="00000000">
        <w:rPr>
          <w:rFonts w:ascii="Roboto" w:cs="Roboto" w:eastAsia="Roboto" w:hAnsi="Roboto"/>
          <w:rtl w:val="0"/>
        </w:rPr>
        <w:t xml:space="preserve"> Despite the small initial class sizes, the committee noted that partners like Boeing have already hired students directly from these temporary courses, proving the high professional value and "proof of concept" for the curriculum.</w:t>
      </w:r>
    </w:p>
    <w:p w:rsidR="00000000" w:rsidDel="00000000" w:rsidP="00000000" w:rsidRDefault="00000000" w:rsidRPr="00000000" w14:paraId="0000001E">
      <w:pPr>
        <w:numPr>
          <w:ilvl w:val="0"/>
          <w:numId w:val="7"/>
        </w:numPr>
        <w:spacing w:after="0" w:afterAutospacing="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Academic Rigor:</w:t>
      </w:r>
      <w:r w:rsidDel="00000000" w:rsidR="00000000" w:rsidRPr="00000000">
        <w:rPr>
          <w:rFonts w:ascii="Roboto" w:cs="Roboto" w:eastAsia="Roboto" w:hAnsi="Roboto"/>
          <w:rtl w:val="0"/>
        </w:rPr>
        <w:t xml:space="preserve"> We scrutinized the grading structures, specifically ensuring that experiential components like field tours were tied to academic deliverables (such as reflection essays) to maintain departmental uniformity.</w:t>
      </w:r>
    </w:p>
    <w:p w:rsidR="00000000" w:rsidDel="00000000" w:rsidP="00000000" w:rsidRDefault="00000000" w:rsidRPr="00000000" w14:paraId="0000001F">
      <w:pPr>
        <w:numPr>
          <w:ilvl w:val="0"/>
          <w:numId w:val="7"/>
        </w:numPr>
        <w:spacing w:after="24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Cross-Campus Accessibility:</w:t>
      </w:r>
      <w:r w:rsidDel="00000000" w:rsidR="00000000" w:rsidRPr="00000000">
        <w:rPr>
          <w:rFonts w:ascii="Roboto" w:cs="Roboto" w:eastAsia="Roboto" w:hAnsi="Roboto"/>
          <w:rtl w:val="0"/>
        </w:rPr>
        <w:t xml:space="preserve"> We confirmed that these courses are accessible to Seattle and Bothell students, who can even complete a minor at the Tacoma campus, further expanding the potential enrollment base.</w:t>
      </w:r>
    </w:p>
    <w:p w:rsidR="00000000" w:rsidDel="00000000" w:rsidP="00000000" w:rsidRDefault="00000000" w:rsidRPr="00000000" w14:paraId="00000020">
      <w:pPr>
        <w:pStyle w:val="Heading3"/>
        <w:keepNext w:val="0"/>
        <w:keepLines w:val="0"/>
        <w:spacing w:before="0" w:lineRule="auto"/>
        <w:rPr>
          <w:rFonts w:ascii="Roboto" w:cs="Roboto" w:eastAsia="Roboto" w:hAnsi="Roboto"/>
          <w:b w:val="1"/>
          <w:bCs w:val="1"/>
          <w:color w:val="000000"/>
          <w:sz w:val="22"/>
          <w:szCs w:val="22"/>
        </w:rPr>
      </w:pPr>
      <w:bookmarkStart w:colFirst="0" w:colLast="0" w:name="_o091ns1l1vbp" w:id="5"/>
      <w:bookmarkEnd w:id="5"/>
      <w:r w:rsidDel="00000000" w:rsidR="00000000" w:rsidRPr="00000000">
        <w:rPr>
          <w:rFonts w:ascii="Roboto" w:cs="Roboto" w:eastAsia="Roboto" w:hAnsi="Roboto"/>
          <w:b w:val="1"/>
          <w:bCs w:val="1"/>
          <w:color w:val="000000"/>
          <w:sz w:val="22"/>
          <w:szCs w:val="22"/>
          <w:rtl w:val="0"/>
        </w:rPr>
        <w:t xml:space="preserve">4. Competency Goal Language Refresh (DEI &amp; Sustainability)</w:t>
      </w:r>
    </w:p>
    <w:p w:rsidR="00000000" w:rsidDel="00000000" w:rsidP="00000000" w:rsidRDefault="00000000" w:rsidRPr="00000000" w14:paraId="00000021">
      <w:pPr>
        <w:spacing w:after="240" w:lineRule="auto"/>
        <w:rPr>
          <w:rFonts w:ascii="Roboto" w:cs="Roboto" w:eastAsia="Roboto" w:hAnsi="Roboto"/>
        </w:rPr>
      </w:pPr>
      <w:r w:rsidDel="00000000" w:rsidR="00000000" w:rsidRPr="00000000">
        <w:rPr>
          <w:rFonts w:ascii="Roboto" w:cs="Roboto" w:eastAsia="Roboto" w:hAnsi="Roboto"/>
          <w:rtl w:val="0"/>
        </w:rPr>
        <w:t xml:space="preserve">The committee discussed feedback from one faculty member regarding proposed changes to Learning Objectives 4 (DEI Mindset) and 5 (Social Responsibility). The feedback criticized that “sustainability” is only a fraction of “social responsibility” and that removing DEI terminology fails to consider equity and social justice, potentially representing a “step backward.”</w:t>
      </w:r>
    </w:p>
    <w:p w:rsidR="00000000" w:rsidDel="00000000" w:rsidP="00000000" w:rsidRDefault="00000000" w:rsidRPr="00000000" w14:paraId="00000022">
      <w:pPr>
        <w:spacing w:after="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Key Discussion Points:</w:t>
      </w:r>
    </w:p>
    <w:p w:rsidR="00000000" w:rsidDel="00000000" w:rsidP="00000000" w:rsidRDefault="00000000" w:rsidRPr="00000000" w14:paraId="00000023">
      <w:pPr>
        <w:numPr>
          <w:ilvl w:val="0"/>
          <w:numId w:val="4"/>
        </w:numPr>
        <w:spacing w:after="0" w:afterAutospacing="0" w:before="240" w:lineRule="auto"/>
        <w:ind w:left="720" w:hanging="360"/>
        <w:rPr/>
      </w:pPr>
      <w:r w:rsidDel="00000000" w:rsidR="00000000" w:rsidRPr="00000000">
        <w:rPr>
          <w:rFonts w:ascii="Roboto" w:cs="Roboto" w:eastAsia="Roboto" w:hAnsi="Roboto"/>
          <w:b w:val="1"/>
          <w:bCs w:val="1"/>
          <w:rtl w:val="0"/>
        </w:rPr>
        <w:t xml:space="preserve">The Holistic View of Sustainability:</w:t>
      </w:r>
      <w:r w:rsidDel="00000000" w:rsidR="00000000" w:rsidRPr="00000000">
        <w:rPr>
          <w:rFonts w:ascii="Roboto" w:cs="Roboto" w:eastAsia="Roboto" w:hAnsi="Roboto"/>
          <w:rtl w:val="0"/>
        </w:rPr>
        <w:t xml:space="preserve"> Member 1 stated that in a global business context, "Sustainability" is no longer just environmental. It is now a "blanket term" for ESG (Environmental, Social, and Governance), which inherently includes diversity and community engagement.</w:t>
      </w:r>
    </w:p>
    <w:p w:rsidR="00000000" w:rsidDel="00000000" w:rsidP="00000000" w:rsidRDefault="00000000" w:rsidRPr="00000000" w14:paraId="00000024">
      <w:pPr>
        <w:numPr>
          <w:ilvl w:val="0"/>
          <w:numId w:val="4"/>
        </w:numPr>
        <w:spacing w:after="0" w:afterAutospacing="0" w:before="0" w:beforeAutospacing="0" w:lineRule="auto"/>
        <w:ind w:left="720" w:hanging="360"/>
        <w:rPr/>
      </w:pPr>
      <w:r w:rsidDel="00000000" w:rsidR="00000000" w:rsidRPr="00000000">
        <w:rPr>
          <w:rFonts w:ascii="Roboto" w:cs="Roboto" w:eastAsia="Roboto" w:hAnsi="Roboto"/>
          <w:b w:val="1"/>
          <w:bCs w:val="1"/>
          <w:rtl w:val="0"/>
        </w:rPr>
        <w:t xml:space="preserve">DEI and Other "Trigger Words":</w:t>
      </w:r>
      <w:r w:rsidDel="00000000" w:rsidR="00000000" w:rsidRPr="00000000">
        <w:rPr>
          <w:rFonts w:ascii="Roboto" w:cs="Roboto" w:eastAsia="Roboto" w:hAnsi="Roboto"/>
          <w:rtl w:val="0"/>
        </w:rPr>
        <w:t xml:space="preserve"> Member 2 clarified that while the </w:t>
      </w:r>
      <w:r w:rsidDel="00000000" w:rsidR="00000000" w:rsidRPr="00000000">
        <w:rPr>
          <w:rFonts w:ascii="Roboto" w:cs="Roboto" w:eastAsia="Roboto" w:hAnsi="Roboto"/>
          <w:i w:val="1"/>
          <w:iCs w:val="1"/>
          <w:rtl w:val="0"/>
        </w:rPr>
        <w:t xml:space="preserve">content</w:t>
      </w:r>
      <w:r w:rsidDel="00000000" w:rsidR="00000000" w:rsidRPr="00000000">
        <w:rPr>
          <w:rFonts w:ascii="Roboto" w:cs="Roboto" w:eastAsia="Roboto" w:hAnsi="Roboto"/>
          <w:rtl w:val="0"/>
        </w:rPr>
        <w:t xml:space="preserve"> and academic freedom of the instructors remain untouched, the </w:t>
      </w:r>
      <w:r w:rsidDel="00000000" w:rsidR="00000000" w:rsidRPr="00000000">
        <w:rPr>
          <w:rFonts w:ascii="Roboto" w:cs="Roboto" w:eastAsia="Roboto" w:hAnsi="Roboto"/>
          <w:i w:val="1"/>
          <w:iCs w:val="1"/>
          <w:rtl w:val="0"/>
        </w:rPr>
        <w:t xml:space="preserve">labels</w:t>
      </w:r>
      <w:r w:rsidDel="00000000" w:rsidR="00000000" w:rsidRPr="00000000">
        <w:rPr>
          <w:rFonts w:ascii="Roboto" w:cs="Roboto" w:eastAsia="Roboto" w:hAnsi="Roboto"/>
          <w:rtl w:val="0"/>
        </w:rPr>
        <w:t xml:space="preserve"> are being adjusted to avoid political "trigger words" and to align with updated AACSB accreditation standards and business community’s input without losing the core values.</w:t>
      </w:r>
      <w:r w:rsidDel="00000000" w:rsidR="00000000" w:rsidRPr="00000000">
        <w:rPr>
          <w:rtl w:val="0"/>
        </w:rPr>
      </w:r>
    </w:p>
    <w:p w:rsidR="00000000" w:rsidDel="00000000" w:rsidP="00000000" w:rsidRDefault="00000000" w:rsidRPr="00000000" w14:paraId="00000025">
      <w:pPr>
        <w:numPr>
          <w:ilvl w:val="0"/>
          <w:numId w:val="4"/>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Member 3 pointed out that the current wording might make it "not obvious" that the department still cares about environmental impacts.</w:t>
      </w:r>
    </w:p>
    <w:p w:rsidR="00000000" w:rsidDel="00000000" w:rsidP="00000000" w:rsidRDefault="00000000" w:rsidRPr="00000000" w14:paraId="00000026">
      <w:pPr>
        <w:numPr>
          <w:ilvl w:val="0"/>
          <w:numId w:val="1"/>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Member 4 suggested that because there is an inherent overlap between Social Responsibility and DEI initiatives, the committee should prepare a strong rationale for why they are being kept as two separate objectives (4 and 5) rather than being merged.</w:t>
      </w:r>
    </w:p>
    <w:p w:rsidR="00000000" w:rsidDel="00000000" w:rsidP="00000000" w:rsidRDefault="00000000" w:rsidRPr="00000000" w14:paraId="00000027">
      <w:pPr>
        <w:numPr>
          <w:ilvl w:val="0"/>
          <w:numId w:val="4"/>
        </w:numPr>
        <w:spacing w:after="24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Decision: </w:t>
      </w:r>
      <w:r w:rsidDel="00000000" w:rsidR="00000000" w:rsidRPr="00000000">
        <w:rPr>
          <w:rFonts w:ascii="Roboto" w:cs="Roboto" w:eastAsia="Roboto" w:hAnsi="Roboto"/>
          <w:rtl w:val="0"/>
        </w:rPr>
        <w:t xml:space="preserve">The committee acknowledged that this is a sensitive fine line to walk. The issue will be forwarded, again, to full faculty, for discussion and potential vote. To ensure transparency, Member 1 recommended requesting ample time at the next faculty meeting specifically for this discussion to prevent it from being rushed or unaddressed again.</w:t>
      </w:r>
    </w:p>
    <w:p w:rsidR="00000000" w:rsidDel="00000000" w:rsidP="00000000" w:rsidRDefault="00000000" w:rsidRPr="00000000" w14:paraId="00000028">
      <w:pPr>
        <w:spacing w:after="240" w:lineRule="auto"/>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29">
      <w:pPr>
        <w:spacing w:after="240" w:lineRule="auto"/>
        <w:ind w:left="0" w:firstLine="0"/>
        <w:rPr>
          <w:rFonts w:ascii="Roboto" w:cs="Roboto" w:eastAsia="Roboto" w:hAnsi="Roboto"/>
          <w:sz w:val="22"/>
          <w:szCs w:val="22"/>
        </w:rPr>
      </w:pPr>
      <w:r w:rsidDel="00000000" w:rsidR="00000000" w:rsidRPr="00000000">
        <w:rPr>
          <w:rFonts w:ascii="Roboto" w:cs="Roboto" w:eastAsia="Roboto" w:hAnsi="Roboto"/>
          <w:rtl w:val="0"/>
        </w:rPr>
        <w:t xml:space="preserve">The following two agenda items were postponed to the next month’s meeting.</w:t>
      </w:r>
      <w:r w:rsidDel="00000000" w:rsidR="00000000" w:rsidRPr="00000000">
        <w:rPr>
          <w:rtl w:val="0"/>
        </w:rPr>
      </w:r>
    </w:p>
    <w:tbl>
      <w:tblPr>
        <w:tblStyle w:val="Table1"/>
        <w:tblW w:w="8760.0" w:type="dxa"/>
        <w:jc w:val="left"/>
        <w:tblInd w:w="-27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8760"/>
        <w:tblGridChange w:id="0">
          <w:tblGrid>
            <w:gridCol w:w="8760"/>
          </w:tblGrid>
        </w:tblGridChange>
      </w:tblGrid>
      <w:tr>
        <w:trPr>
          <w:cantSplit w:val="0"/>
          <w:trHeight w:val="576" w:hRule="atLeast"/>
          <w:tblHeader w:val="0"/>
        </w:trPr>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2A">
            <w:pPr>
              <w:pStyle w:val="Heading2"/>
              <w:shd w:fill="auto" w:val="clear"/>
              <w:spacing w:after="0" w:before="0" w:lineRule="auto"/>
              <w:ind w:left="180" w:firstLine="0"/>
              <w:rPr>
                <w:rFonts w:ascii="Roboto" w:cs="Roboto" w:eastAsia="Roboto" w:hAnsi="Roboto"/>
                <w:sz w:val="22"/>
                <w:szCs w:val="22"/>
              </w:rPr>
            </w:pPr>
            <w:bookmarkStart w:colFirst="0" w:colLast="0" w:name="_ds6xuv3c0sua" w:id="6"/>
            <w:bookmarkEnd w:id="6"/>
            <w:r w:rsidDel="00000000" w:rsidR="00000000" w:rsidRPr="00000000">
              <w:rPr>
                <w:rFonts w:ascii="Roboto" w:cs="Roboto" w:eastAsia="Roboto" w:hAnsi="Roboto"/>
                <w:sz w:val="22"/>
                <w:szCs w:val="22"/>
                <w:rtl w:val="0"/>
              </w:rPr>
              <w:t xml:space="preserve">Non-Voting Items</w:t>
            </w:r>
          </w:p>
          <w:p w:rsidR="00000000" w:rsidDel="00000000" w:rsidP="00000000" w:rsidRDefault="00000000" w:rsidRPr="00000000" w14:paraId="0000002B">
            <w:pPr>
              <w:shd w:fill="auto" w:val="clear"/>
              <w:ind w:left="180" w:firstLine="0"/>
              <w:rPr>
                <w:rFonts w:ascii="Roboto" w:cs="Roboto" w:eastAsia="Roboto" w:hAnsi="Roboto"/>
                <w:b w:val="1"/>
                <w:bCs w:val="1"/>
              </w:rPr>
            </w:pPr>
            <w:r w:rsidDel="00000000" w:rsidR="00000000" w:rsidRPr="00000000">
              <w:rPr>
                <w:rtl w:val="0"/>
              </w:rPr>
            </w:r>
          </w:p>
          <w:p w:rsidR="00000000" w:rsidDel="00000000" w:rsidP="00000000" w:rsidRDefault="00000000" w:rsidRPr="00000000" w14:paraId="0000002C">
            <w:pPr>
              <w:shd w:fill="auto" w:val="clear"/>
              <w:ind w:left="180" w:firstLine="0"/>
              <w:rPr>
                <w:rFonts w:ascii="Roboto" w:cs="Roboto" w:eastAsia="Roboto" w:hAnsi="Roboto"/>
                <w:b w:val="1"/>
                <w:bCs w:val="1"/>
              </w:rPr>
            </w:pPr>
            <w:r w:rsidDel="00000000" w:rsidR="00000000" w:rsidRPr="00000000">
              <w:rPr>
                <w:rFonts w:ascii="Roboto" w:cs="Roboto" w:eastAsia="Roboto" w:hAnsi="Roboto"/>
                <w:b w:val="1"/>
                <w:bCs w:val="1"/>
                <w:rtl w:val="0"/>
              </w:rPr>
              <w:t xml:space="preserve">AACSB Accreditation recap</w:t>
            </w:r>
          </w:p>
          <w:p w:rsidR="00000000" w:rsidDel="00000000" w:rsidP="00000000" w:rsidRDefault="00000000" w:rsidRPr="00000000" w14:paraId="0000002D">
            <w:pPr>
              <w:shd w:fill="auto" w:val="clear"/>
              <w:ind w:left="180" w:firstLine="0"/>
              <w:rPr>
                <w:rFonts w:ascii="Roboto" w:cs="Roboto" w:eastAsia="Roboto" w:hAnsi="Roboto"/>
                <w:b w:val="1"/>
                <w:bCs w:val="1"/>
              </w:rPr>
            </w:pPr>
            <w:r w:rsidDel="00000000" w:rsidR="00000000" w:rsidRPr="00000000">
              <w:rPr>
                <w:rtl w:val="0"/>
              </w:rPr>
            </w:r>
          </w:p>
        </w:tc>
      </w:tr>
      <w:tr>
        <w:trPr>
          <w:cantSplit w:val="0"/>
          <w:trHeight w:val="576" w:hRule="atLeast"/>
          <w:tblHeader w:val="0"/>
        </w:trPr>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2E">
            <w:pPr>
              <w:shd w:fill="auto" w:val="clear"/>
              <w:ind w:left="180" w:right="-105" w:firstLine="0"/>
              <w:rPr>
                <w:rFonts w:ascii="Roboto" w:cs="Roboto" w:eastAsia="Roboto" w:hAnsi="Roboto"/>
                <w:b w:val="1"/>
                <w:bCs w:val="1"/>
              </w:rPr>
            </w:pPr>
            <w:r w:rsidDel="00000000" w:rsidR="00000000" w:rsidRPr="00000000">
              <w:rPr>
                <w:rFonts w:ascii="Roboto" w:cs="Roboto" w:eastAsia="Roboto" w:hAnsi="Roboto"/>
                <w:b w:val="1"/>
                <w:bCs w:val="1"/>
                <w:rtl w:val="0"/>
              </w:rPr>
              <w:t xml:space="preserve">Student concern resolution process</w:t>
            </w:r>
          </w:p>
          <w:p w:rsidR="00000000" w:rsidDel="00000000" w:rsidP="00000000" w:rsidRDefault="00000000" w:rsidRPr="00000000" w14:paraId="0000002F">
            <w:pPr>
              <w:shd w:fill="auto" w:val="clear"/>
              <w:ind w:left="180" w:right="-105" w:firstLine="0"/>
              <w:rPr>
                <w:rFonts w:ascii="Roboto" w:cs="Roboto" w:eastAsia="Roboto" w:hAnsi="Roboto"/>
                <w:color w:val="9900ff"/>
              </w:rPr>
            </w:pPr>
            <w:r w:rsidDel="00000000" w:rsidR="00000000" w:rsidRPr="00000000">
              <w:rPr>
                <w:rFonts w:ascii="Roboto" w:cs="Roboto" w:eastAsia="Roboto" w:hAnsi="Roboto"/>
                <w:rtl w:val="0"/>
              </w:rPr>
              <w:t xml:space="preserve">Should we develop a policy for the undergraduate program? Here is our policy for the MBA program, as a reference:</w:t>
            </w:r>
            <w:r w:rsidDel="00000000" w:rsidR="00000000" w:rsidRPr="00000000">
              <w:rPr>
                <w:rFonts w:ascii="Roboto" w:cs="Roboto" w:eastAsia="Roboto" w:hAnsi="Roboto"/>
                <w:color w:val="9900ff"/>
                <w:rtl w:val="0"/>
              </w:rPr>
              <w:t xml:space="preserve"> </w:t>
            </w:r>
            <w:hyperlink r:id="rId7">
              <w:r w:rsidDel="00000000" w:rsidR="00000000" w:rsidRPr="00000000">
                <w:rPr>
                  <w:rFonts w:ascii="Roboto" w:cs="Roboto" w:eastAsia="Roboto" w:hAnsi="Roboto"/>
                  <w:color w:val="1155cc"/>
                  <w:u w:val="single"/>
                  <w:rtl w:val="0"/>
                </w:rPr>
                <w:t xml:space="preserve">MSBA Student Grievance Policy.pdf</w:t>
              </w:r>
            </w:hyperlink>
            <w:r w:rsidDel="00000000" w:rsidR="00000000" w:rsidRPr="00000000">
              <w:rPr>
                <w:rtl w:val="0"/>
              </w:rPr>
            </w:r>
          </w:p>
        </w:tc>
      </w:tr>
    </w:tbl>
    <w:p w:rsidR="00000000" w:rsidDel="00000000" w:rsidP="00000000" w:rsidRDefault="00000000" w:rsidRPr="00000000" w14:paraId="00000030">
      <w:pPr>
        <w:rPr>
          <w:rFonts w:ascii="Roboto" w:cs="Roboto" w:eastAsia="Roboto" w:hAnsi="Roboto"/>
        </w:rPr>
      </w:pPr>
      <w:r w:rsidDel="00000000" w:rsidR="00000000" w:rsidRPr="00000000">
        <w:rPr>
          <w:rtl w:val="0"/>
        </w:rPr>
      </w:r>
    </w:p>
    <w:p w:rsidR="00000000" w:rsidDel="00000000" w:rsidP="00000000" w:rsidRDefault="00000000" w:rsidRPr="00000000" w14:paraId="00000031">
      <w:pPr>
        <w:rPr>
          <w:rFonts w:ascii="Roboto" w:cs="Roboto" w:eastAsia="Roboto" w:hAnsi="Roboto"/>
        </w:rPr>
      </w:pPr>
      <w:r w:rsidDel="00000000" w:rsidR="00000000" w:rsidRPr="00000000">
        <w:rPr>
          <w:rFonts w:ascii="Roboto" w:cs="Roboto" w:eastAsia="Roboto" w:hAnsi="Roboto"/>
          <w:rtl w:val="0"/>
        </w:rPr>
        <w:t xml:space="preserve">END OF MEETING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wnetid-my.sharepoint.com/:b:/g/personal/marionb_uw_edu/EZgiZN2Nv4RLrpO9NXmh7tYBqSOG05A2eYld_f_4LES6rA?e=VbQkV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